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4BC58">
      <w:pPr>
        <w:ind w:left="567" w:firstLine="567"/>
        <w:jc w:val="center"/>
        <w:outlineLvl w:val="0"/>
        <w:rPr>
          <w:b/>
        </w:rPr>
      </w:pPr>
      <w:bookmarkStart w:id="0" w:name="_GoBack"/>
      <w:bookmarkEnd w:id="0"/>
      <w:r>
        <w:rPr>
          <w:b/>
        </w:rPr>
        <w:t>КОНТРОЛЬНО - СЧЕТНАЯ ПАЛАТА МУНИЦИПАЛЬНОГО ОБРАЗОВАНИЯ «АХТУБИНСКИЙ МУНИЦИПАЛЬНЫЙ РАЙОН АСТРАХАНСКОЙ ОБЛАСТИ»</w:t>
      </w:r>
    </w:p>
    <w:p w14:paraId="1E3A40E6">
      <w:pPr>
        <w:jc w:val="center"/>
        <w:outlineLvl w:val="0"/>
      </w:pPr>
    </w:p>
    <w:p w14:paraId="0A226267">
      <w:pPr>
        <w:jc w:val="center"/>
        <w:outlineLvl w:val="0"/>
        <w:rPr>
          <w:sz w:val="18"/>
          <w:szCs w:val="18"/>
        </w:rPr>
      </w:pPr>
      <w:r>
        <w:rPr>
          <w:sz w:val="18"/>
          <w:szCs w:val="18"/>
        </w:rPr>
        <w:t>Волгоградская ул., д.141, г. Ахтубинск, Астраханской обл., 416500, Тел.(8-85141) 4-04-24;</w:t>
      </w:r>
    </w:p>
    <w:p w14:paraId="6C78019D">
      <w:pPr>
        <w:jc w:val="center"/>
        <w:outlineLvl w:val="0"/>
        <w:rPr>
          <w:sz w:val="18"/>
          <w:szCs w:val="18"/>
        </w:rPr>
      </w:pPr>
      <w:r>
        <w:rPr>
          <w:sz w:val="18"/>
          <w:szCs w:val="18"/>
        </w:rPr>
        <w:t xml:space="preserve"> </w:t>
      </w:r>
      <w:r>
        <w:rPr>
          <w:sz w:val="18"/>
          <w:szCs w:val="18"/>
          <w:lang w:val="en-US"/>
        </w:rPr>
        <w:t>e</w:t>
      </w:r>
      <w:r>
        <w:rPr>
          <w:sz w:val="18"/>
          <w:szCs w:val="18"/>
        </w:rPr>
        <w:t>-</w:t>
      </w:r>
      <w:r>
        <w:rPr>
          <w:sz w:val="18"/>
          <w:szCs w:val="18"/>
          <w:lang w:val="en-US"/>
        </w:rPr>
        <w:t>mail</w:t>
      </w:r>
      <w:r>
        <w:rPr>
          <w:sz w:val="18"/>
          <w:szCs w:val="18"/>
        </w:rPr>
        <w:t xml:space="preserve">: </w:t>
      </w:r>
      <w:r>
        <w:rPr>
          <w:sz w:val="18"/>
          <w:szCs w:val="18"/>
          <w:lang w:val="en-US"/>
        </w:rPr>
        <w:t>kspahtubinsk</w:t>
      </w:r>
      <w:r>
        <w:rPr>
          <w:sz w:val="18"/>
          <w:szCs w:val="18"/>
        </w:rPr>
        <w:t>@</w:t>
      </w:r>
      <w:r>
        <w:rPr>
          <w:sz w:val="18"/>
          <w:szCs w:val="18"/>
          <w:lang w:val="en-US"/>
        </w:rPr>
        <w:t>mail</w:t>
      </w:r>
      <w:r>
        <w:rPr>
          <w:sz w:val="18"/>
          <w:szCs w:val="18"/>
        </w:rPr>
        <w:t>.</w:t>
      </w:r>
      <w:r>
        <w:rPr>
          <w:sz w:val="18"/>
          <w:szCs w:val="18"/>
          <w:lang w:val="en-US"/>
        </w:rPr>
        <w:t>ru</w:t>
      </w:r>
      <w:r>
        <w:rPr>
          <w:sz w:val="18"/>
          <w:szCs w:val="18"/>
        </w:rPr>
        <w:t xml:space="preserve"> ОКПО 78317643, ОГРН 1063022000282, ИНН/КПП 3001040259/300101001</w:t>
      </w:r>
    </w:p>
    <w:p w14:paraId="77BBADAA">
      <w:pPr>
        <w:pBdr>
          <w:top w:val="thinThickSmallGap" w:color="auto" w:sz="24" w:space="1"/>
        </w:pBdr>
        <w:spacing w:line="360" w:lineRule="auto"/>
        <w:jc w:val="center"/>
        <w:rPr>
          <w:sz w:val="22"/>
          <w:szCs w:val="22"/>
        </w:rPr>
      </w:pPr>
    </w:p>
    <w:p w14:paraId="3F2A67CE">
      <w:pPr>
        <w:jc w:val="center"/>
        <w:rPr>
          <w:b/>
          <w:i/>
        </w:rPr>
      </w:pPr>
      <w:r>
        <w:rPr>
          <w:b/>
          <w:i/>
        </w:rPr>
        <w:t>Аналитическая записка к отчёту об исполнении бюджета</w:t>
      </w:r>
    </w:p>
    <w:p w14:paraId="1CA9E25C">
      <w:pPr>
        <w:jc w:val="center"/>
        <w:rPr>
          <w:b/>
          <w:i/>
        </w:rPr>
      </w:pPr>
      <w:r>
        <w:rPr>
          <w:b/>
          <w:i/>
        </w:rPr>
        <w:t>муниципального образования «Ахтубинский муниципальный район Астраханской области» за 1 полугодие 2024 года.</w:t>
      </w:r>
    </w:p>
    <w:p w14:paraId="0276A8F1">
      <w:pPr>
        <w:ind w:firstLine="720"/>
        <w:jc w:val="center"/>
      </w:pPr>
    </w:p>
    <w:p w14:paraId="3255F64E">
      <w:r>
        <w:rPr>
          <w:highlight w:val="none"/>
        </w:rPr>
        <w:t>от 2</w:t>
      </w:r>
      <w:r>
        <w:rPr>
          <w:rFonts w:hint="default"/>
          <w:highlight w:val="none"/>
          <w:lang w:val="ru-RU"/>
        </w:rPr>
        <w:t>5</w:t>
      </w:r>
      <w:r>
        <w:rPr>
          <w:highlight w:val="none"/>
        </w:rPr>
        <w:t>.07.2024 г.</w:t>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 З-</w:t>
      </w:r>
      <w:r>
        <w:rPr>
          <w:rFonts w:hint="default"/>
          <w:highlight w:val="none"/>
          <w:lang w:val="ru-RU"/>
        </w:rPr>
        <w:t>33</w:t>
      </w:r>
      <w:r>
        <w:rPr>
          <w:highlight w:val="none"/>
        </w:rPr>
        <w:t xml:space="preserve">/2024 </w:t>
      </w:r>
    </w:p>
    <w:p w14:paraId="0768E57F">
      <w:pPr>
        <w:ind w:firstLine="720"/>
        <w:jc w:val="center"/>
        <w:rPr>
          <w:b/>
        </w:rPr>
      </w:pPr>
    </w:p>
    <w:p w14:paraId="27FCF1C2">
      <w:pPr>
        <w:ind w:firstLine="720"/>
        <w:jc w:val="center"/>
        <w:rPr>
          <w:b/>
        </w:rPr>
      </w:pPr>
      <w:r>
        <w:rPr>
          <w:b/>
        </w:rPr>
        <w:t>Общие сведения</w:t>
      </w:r>
    </w:p>
    <w:p w14:paraId="2D6DB67C">
      <w:pPr>
        <w:ind w:firstLine="720"/>
        <w:jc w:val="center"/>
      </w:pPr>
    </w:p>
    <w:p w14:paraId="351F2048">
      <w:pPr>
        <w:ind w:firstLine="567"/>
        <w:jc w:val="both"/>
      </w:pPr>
      <w:r>
        <w:t>Согласно требованиям пункта 5 статьи 264.2 Бюджетного кодекса РФ (далее - БК РФ) отчёт об исполнении местного бюджет</w:t>
      </w:r>
      <w:r>
        <w:rPr>
          <w:highlight w:val="none"/>
        </w:rPr>
        <w:t xml:space="preserve">а за 1 </w:t>
      </w:r>
      <w:r>
        <w:rPr>
          <w:highlight w:val="none"/>
          <w:lang w:val="ru-RU"/>
        </w:rPr>
        <w:t>квартал</w:t>
      </w:r>
      <w:r>
        <w:rPr>
          <w:highlight w:val="none"/>
        </w:rPr>
        <w:t>, 1 по</w:t>
      </w:r>
      <w:r>
        <w:t>лугодие и 9 месяцев текущего финансового года утверждается местной администрацией и направляется в соответствующий законодательный (представительный) орган и созданный им орган государственного (муниципального) финансового контроля.</w:t>
      </w:r>
    </w:p>
    <w:p w14:paraId="2A3A87D5">
      <w:pPr>
        <w:ind w:firstLine="567"/>
        <w:jc w:val="both"/>
      </w:pPr>
      <w:r>
        <w:t>Отчёт об исполнении бюджета муниципального образования «Ахтубинский муниципальный район Астраханской области» (далее - МО «Ахтубинский район») за 1 полугодие 2024 года, утверждённый постановлением администрации МО «Ахтубинский район» от 19.07.2024 № 409 (далее - отчёт) поступил в Контрольно-счетную палату муниципального образования «Ахтубинский муниципальный район Астраханской области» (далее - КСП МО «Ахтубинский район») - 22.07.2024 года, своевременно в соответствии с пунктом 19.3 Положения о бюджетном процессе в муниципальном образовании «Ахтубинский район», утверждённого Решением Совета от 27.10.2016 № 244, в течение 45 дней после окончания отчётного периода.</w:t>
      </w:r>
    </w:p>
    <w:p w14:paraId="127DCCC7">
      <w:pPr>
        <w:ind w:firstLine="567"/>
        <w:jc w:val="both"/>
      </w:pPr>
      <w:r>
        <w:t>Аналитическая записка составлена в рамках исполнения полномочий КСП МО «Ахтубинский район», установленных пунктом 1 части 2 статьи 9 Федерального закона от 07.02.2011 №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статьёй 8 Положения о Контрольно-счетной палате муниципального образования «Ахтубинский муниципальный район Астраханской области», принятого решением Совета МО «Ахтубинский район» от 25.05.2023 № 343 и пункта 2.4. плана работы Контрольно-счетной палаты на 2024 год.</w:t>
      </w:r>
    </w:p>
    <w:p w14:paraId="27D1B234">
      <w:pPr>
        <w:ind w:firstLine="567"/>
        <w:jc w:val="both"/>
      </w:pPr>
    </w:p>
    <w:p w14:paraId="76D2F0ED">
      <w:pPr>
        <w:pStyle w:val="10"/>
        <w:numPr>
          <w:ilvl w:val="0"/>
          <w:numId w:val="1"/>
        </w:numPr>
        <w:tabs>
          <w:tab w:val="left" w:pos="567"/>
        </w:tabs>
        <w:ind w:left="0" w:firstLine="0"/>
        <w:jc w:val="center"/>
        <w:rPr>
          <w:b/>
        </w:rPr>
      </w:pPr>
      <w:r>
        <w:rPr>
          <w:b/>
        </w:rPr>
        <w:t>Оценка исполнения бюджета, основные характеристики бюджета.</w:t>
      </w:r>
    </w:p>
    <w:p w14:paraId="5A9AE64F">
      <w:pPr>
        <w:pStyle w:val="10"/>
        <w:ind w:left="0" w:firstLine="567"/>
        <w:jc w:val="center"/>
        <w:rPr>
          <w:b/>
        </w:rPr>
      </w:pPr>
    </w:p>
    <w:p w14:paraId="3275059B">
      <w:pPr>
        <w:pStyle w:val="10"/>
        <w:ind w:left="0" w:firstLine="567"/>
        <w:jc w:val="both"/>
      </w:pPr>
      <w:r>
        <w:t>Решением Совета муниципального образования «Ахтубинский муниципальный район Астраханской области» от 07.12.2023 № 390 «О бюджете муниципального образования «Ахтубинский муниципальный район Астраханской области» на 2024 год и на плановый период 2025 и 2026 годов» (в ред. от 11.04.2024 № 423), утверждены основные характеристики бюджета МО «Ахтубинский район» на 2024 год:</w:t>
      </w:r>
    </w:p>
    <w:p w14:paraId="4B1689CC">
      <w:pPr>
        <w:jc w:val="both"/>
      </w:pPr>
      <w:r>
        <w:t>1) общий объем доходов в сумме 1 772 068,79 тыс. руб., в том числе за счёт межбюджетных трансфертов, получаемых из других бюджетов бюджетной системы РФ – 1 190 812,09 тыс. руб.;</w:t>
      </w:r>
    </w:p>
    <w:p w14:paraId="17ECED5A">
      <w:pPr>
        <w:jc w:val="both"/>
      </w:pPr>
      <w:r>
        <w:t>2) общий объем расходов в сумме 1 809 145,24 тыс. руб.;</w:t>
      </w:r>
    </w:p>
    <w:p w14:paraId="36BF5146">
      <w:pPr>
        <w:jc w:val="both"/>
      </w:pPr>
      <w:r>
        <w:t>3) дефицит в сумме 37 076,45 тыс. руб.</w:t>
      </w:r>
    </w:p>
    <w:p w14:paraId="754A4EDC">
      <w:pPr>
        <w:ind w:firstLine="709"/>
        <w:jc w:val="both"/>
      </w:pPr>
      <w:r>
        <w:t>Показатели исполнения бюджета за 1 полугодие 2024 года по основным параметрам и динамика исполнения к соответствующему периоду 2023 года, представлены в таблице №1:</w:t>
      </w:r>
    </w:p>
    <w:p w14:paraId="19BA8379">
      <w:pPr>
        <w:pStyle w:val="10"/>
        <w:ind w:left="0" w:firstLine="567"/>
        <w:jc w:val="right"/>
      </w:pPr>
      <w:r>
        <w:t>Таблица № 1 (тыс. руб.)</w:t>
      </w:r>
    </w:p>
    <w:tbl>
      <w:tblPr>
        <w:tblStyle w:val="3"/>
        <w:tblW w:w="93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1404"/>
        <w:gridCol w:w="1456"/>
        <w:gridCol w:w="1390"/>
        <w:gridCol w:w="1123"/>
        <w:gridCol w:w="1276"/>
      </w:tblGrid>
      <w:tr w14:paraId="3587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722" w:type="dxa"/>
            <w:shd w:val="clear" w:color="auto" w:fill="auto"/>
            <w:vAlign w:val="center"/>
          </w:tcPr>
          <w:p w14:paraId="00716FBD">
            <w:pPr>
              <w:jc w:val="center"/>
              <w:rPr>
                <w:color w:val="000000"/>
                <w:sz w:val="20"/>
                <w:szCs w:val="20"/>
              </w:rPr>
            </w:pPr>
            <w:r>
              <w:rPr>
                <w:color w:val="000000"/>
                <w:sz w:val="20"/>
                <w:szCs w:val="20"/>
              </w:rPr>
              <w:t>Наименование показателя</w:t>
            </w:r>
          </w:p>
        </w:tc>
        <w:tc>
          <w:tcPr>
            <w:tcW w:w="1404" w:type="dxa"/>
            <w:shd w:val="clear" w:color="auto" w:fill="auto"/>
            <w:vAlign w:val="center"/>
          </w:tcPr>
          <w:p w14:paraId="79729DAB">
            <w:pPr>
              <w:jc w:val="center"/>
              <w:textAlignment w:val="center"/>
              <w:rPr>
                <w:color w:val="000000"/>
                <w:sz w:val="22"/>
                <w:szCs w:val="22"/>
              </w:rPr>
            </w:pPr>
            <w:r>
              <w:rPr>
                <w:rFonts w:eastAsia="SimSun"/>
                <w:color w:val="000000"/>
                <w:sz w:val="22"/>
                <w:szCs w:val="22"/>
                <w:lang w:eastAsia="zh-CN" w:bidi="ar"/>
              </w:rPr>
              <w:t>Исполнение за 1 полугодие 2023 года, тыс. руб.</w:t>
            </w:r>
          </w:p>
        </w:tc>
        <w:tc>
          <w:tcPr>
            <w:tcW w:w="1456" w:type="dxa"/>
            <w:shd w:val="clear" w:color="auto" w:fill="auto"/>
            <w:vAlign w:val="center"/>
          </w:tcPr>
          <w:p w14:paraId="1AB5AE54">
            <w:pPr>
              <w:jc w:val="center"/>
              <w:textAlignment w:val="center"/>
              <w:rPr>
                <w:color w:val="000000"/>
                <w:sz w:val="22"/>
                <w:szCs w:val="22"/>
              </w:rPr>
            </w:pPr>
            <w:r>
              <w:rPr>
                <w:rFonts w:eastAsia="SimSun"/>
                <w:color w:val="000000"/>
                <w:sz w:val="22"/>
                <w:szCs w:val="22"/>
                <w:lang w:eastAsia="zh-CN" w:bidi="ar"/>
              </w:rPr>
              <w:t xml:space="preserve">Утверждено (Решение о бюджете от 11.04.2024 №423) </w:t>
            </w:r>
          </w:p>
        </w:tc>
        <w:tc>
          <w:tcPr>
            <w:tcW w:w="1390" w:type="dxa"/>
            <w:shd w:val="clear" w:color="auto" w:fill="auto"/>
            <w:vAlign w:val="center"/>
          </w:tcPr>
          <w:p w14:paraId="79EC18EA">
            <w:pPr>
              <w:jc w:val="center"/>
              <w:textAlignment w:val="center"/>
              <w:rPr>
                <w:color w:val="000000"/>
                <w:sz w:val="22"/>
                <w:szCs w:val="22"/>
              </w:rPr>
            </w:pPr>
            <w:r>
              <w:rPr>
                <w:rFonts w:eastAsia="SimSun"/>
                <w:color w:val="000000"/>
                <w:sz w:val="22"/>
                <w:szCs w:val="22"/>
                <w:lang w:eastAsia="zh-CN" w:bidi="ar"/>
              </w:rPr>
              <w:t>Исполнение за 1 полугодие 2024 года, тыс. руб.</w:t>
            </w:r>
          </w:p>
        </w:tc>
        <w:tc>
          <w:tcPr>
            <w:tcW w:w="1123" w:type="dxa"/>
            <w:shd w:val="clear" w:color="auto" w:fill="auto"/>
            <w:vAlign w:val="center"/>
          </w:tcPr>
          <w:p w14:paraId="75AACDE3">
            <w:pPr>
              <w:jc w:val="center"/>
              <w:textAlignment w:val="center"/>
              <w:rPr>
                <w:color w:val="000000"/>
                <w:sz w:val="22"/>
                <w:szCs w:val="22"/>
              </w:rPr>
            </w:pPr>
            <w:r>
              <w:rPr>
                <w:rFonts w:eastAsia="SimSun"/>
                <w:color w:val="000000"/>
                <w:sz w:val="22"/>
                <w:szCs w:val="22"/>
                <w:lang w:eastAsia="zh-CN" w:bidi="ar"/>
              </w:rPr>
              <w:t xml:space="preserve">% исполнения к утвержденному плану на 2024 год </w:t>
            </w:r>
          </w:p>
        </w:tc>
        <w:tc>
          <w:tcPr>
            <w:tcW w:w="1276" w:type="dxa"/>
            <w:shd w:val="clear" w:color="auto" w:fill="auto"/>
            <w:vAlign w:val="center"/>
          </w:tcPr>
          <w:p w14:paraId="732797B9">
            <w:pPr>
              <w:jc w:val="center"/>
              <w:textAlignment w:val="center"/>
              <w:rPr>
                <w:color w:val="000000"/>
                <w:sz w:val="22"/>
                <w:szCs w:val="22"/>
              </w:rPr>
            </w:pPr>
            <w:r>
              <w:rPr>
                <w:rFonts w:eastAsia="SimSun"/>
                <w:color w:val="000000"/>
                <w:sz w:val="22"/>
                <w:szCs w:val="22"/>
                <w:lang w:eastAsia="zh-CN" w:bidi="ar"/>
              </w:rPr>
              <w:t>Темпы роста к соответствующему периоду 2023 года, %</w:t>
            </w:r>
          </w:p>
        </w:tc>
      </w:tr>
      <w:tr w14:paraId="4558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2" w:type="dxa"/>
            <w:shd w:val="clear" w:color="auto" w:fill="auto"/>
            <w:vAlign w:val="center"/>
          </w:tcPr>
          <w:p w14:paraId="1BF31BA7">
            <w:pPr>
              <w:rPr>
                <w:b/>
                <w:color w:val="000000"/>
                <w:sz w:val="20"/>
                <w:szCs w:val="20"/>
              </w:rPr>
            </w:pPr>
            <w:r>
              <w:rPr>
                <w:b/>
                <w:color w:val="000000"/>
                <w:sz w:val="20"/>
                <w:szCs w:val="20"/>
              </w:rPr>
              <w:t>Доходы бюджета всего, в том числе:</w:t>
            </w:r>
          </w:p>
        </w:tc>
        <w:tc>
          <w:tcPr>
            <w:tcW w:w="1404" w:type="dxa"/>
            <w:shd w:val="clear" w:color="auto" w:fill="auto"/>
            <w:vAlign w:val="center"/>
          </w:tcPr>
          <w:p w14:paraId="360DCAFF">
            <w:pPr>
              <w:jc w:val="center"/>
              <w:textAlignment w:val="center"/>
              <w:rPr>
                <w:color w:val="000000"/>
                <w:sz w:val="22"/>
                <w:szCs w:val="22"/>
              </w:rPr>
            </w:pPr>
            <w:r>
              <w:rPr>
                <w:rFonts w:eastAsia="SimSun"/>
                <w:color w:val="000000"/>
                <w:sz w:val="22"/>
                <w:szCs w:val="22"/>
                <w:lang w:val="en-US" w:eastAsia="zh-CN" w:bidi="ar"/>
              </w:rPr>
              <w:t>821 988,06</w:t>
            </w:r>
          </w:p>
        </w:tc>
        <w:tc>
          <w:tcPr>
            <w:tcW w:w="1456" w:type="dxa"/>
            <w:shd w:val="clear" w:color="auto" w:fill="auto"/>
            <w:vAlign w:val="center"/>
          </w:tcPr>
          <w:p w14:paraId="48E6E323">
            <w:pPr>
              <w:jc w:val="center"/>
              <w:textAlignment w:val="center"/>
              <w:rPr>
                <w:color w:val="000000"/>
                <w:sz w:val="22"/>
                <w:szCs w:val="22"/>
              </w:rPr>
            </w:pPr>
            <w:r>
              <w:rPr>
                <w:rFonts w:eastAsia="SimSun"/>
                <w:color w:val="000000"/>
                <w:sz w:val="22"/>
                <w:szCs w:val="22"/>
                <w:lang w:val="en-US" w:eastAsia="zh-CN" w:bidi="ar"/>
              </w:rPr>
              <w:t>1772 068,79</w:t>
            </w:r>
          </w:p>
        </w:tc>
        <w:tc>
          <w:tcPr>
            <w:tcW w:w="1390" w:type="dxa"/>
            <w:shd w:val="clear" w:color="auto" w:fill="auto"/>
            <w:vAlign w:val="center"/>
          </w:tcPr>
          <w:p w14:paraId="15529899">
            <w:pPr>
              <w:jc w:val="center"/>
              <w:textAlignment w:val="center"/>
              <w:rPr>
                <w:color w:val="000000"/>
                <w:sz w:val="22"/>
                <w:szCs w:val="22"/>
              </w:rPr>
            </w:pPr>
            <w:r>
              <w:rPr>
                <w:rFonts w:eastAsia="SimSun"/>
                <w:color w:val="000000"/>
                <w:sz w:val="22"/>
                <w:szCs w:val="22"/>
                <w:lang w:val="en-US" w:eastAsia="zh-CN" w:bidi="ar"/>
              </w:rPr>
              <w:t>1035 853,14</w:t>
            </w:r>
          </w:p>
        </w:tc>
        <w:tc>
          <w:tcPr>
            <w:tcW w:w="1123" w:type="dxa"/>
            <w:shd w:val="clear" w:color="auto" w:fill="auto"/>
            <w:vAlign w:val="center"/>
          </w:tcPr>
          <w:p w14:paraId="2F168DEA">
            <w:pPr>
              <w:jc w:val="center"/>
              <w:textAlignment w:val="center"/>
              <w:rPr>
                <w:color w:val="000000"/>
                <w:sz w:val="22"/>
                <w:szCs w:val="22"/>
              </w:rPr>
            </w:pPr>
            <w:r>
              <w:rPr>
                <w:rFonts w:eastAsia="SimSun"/>
                <w:color w:val="000000"/>
                <w:sz w:val="22"/>
                <w:szCs w:val="22"/>
                <w:lang w:val="en-US" w:eastAsia="zh-CN" w:bidi="ar"/>
              </w:rPr>
              <w:t>58,45</w:t>
            </w:r>
          </w:p>
        </w:tc>
        <w:tc>
          <w:tcPr>
            <w:tcW w:w="1276" w:type="dxa"/>
            <w:shd w:val="clear" w:color="auto" w:fill="auto"/>
            <w:vAlign w:val="center"/>
          </w:tcPr>
          <w:p w14:paraId="70F89652">
            <w:pPr>
              <w:jc w:val="center"/>
              <w:textAlignment w:val="center"/>
              <w:rPr>
                <w:color w:val="000000"/>
                <w:sz w:val="22"/>
                <w:szCs w:val="22"/>
              </w:rPr>
            </w:pPr>
            <w:r>
              <w:rPr>
                <w:rFonts w:eastAsia="SimSun"/>
                <w:color w:val="000000"/>
                <w:sz w:val="22"/>
                <w:szCs w:val="22"/>
                <w:lang w:val="en-US" w:eastAsia="zh-CN" w:bidi="ar"/>
              </w:rPr>
              <w:t>126,02</w:t>
            </w:r>
          </w:p>
        </w:tc>
      </w:tr>
      <w:tr w14:paraId="743D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22" w:type="dxa"/>
            <w:shd w:val="clear" w:color="auto" w:fill="auto"/>
            <w:vAlign w:val="center"/>
          </w:tcPr>
          <w:p w14:paraId="40A49526">
            <w:pPr>
              <w:jc w:val="both"/>
              <w:rPr>
                <w:color w:val="000000"/>
                <w:sz w:val="20"/>
                <w:szCs w:val="20"/>
              </w:rPr>
            </w:pPr>
            <w:r>
              <w:rPr>
                <w:color w:val="000000"/>
                <w:sz w:val="20"/>
                <w:szCs w:val="20"/>
              </w:rPr>
              <w:t>налоговые и неналоговые доходы</w:t>
            </w:r>
          </w:p>
        </w:tc>
        <w:tc>
          <w:tcPr>
            <w:tcW w:w="1404" w:type="dxa"/>
            <w:shd w:val="clear" w:color="auto" w:fill="auto"/>
            <w:vAlign w:val="center"/>
          </w:tcPr>
          <w:p w14:paraId="42C04674">
            <w:pPr>
              <w:jc w:val="center"/>
              <w:textAlignment w:val="center"/>
              <w:rPr>
                <w:color w:val="000000"/>
                <w:sz w:val="22"/>
                <w:szCs w:val="22"/>
              </w:rPr>
            </w:pPr>
            <w:r>
              <w:rPr>
                <w:rFonts w:eastAsia="SimSun"/>
                <w:color w:val="000000"/>
                <w:sz w:val="22"/>
                <w:szCs w:val="22"/>
                <w:lang w:val="en-US" w:eastAsia="zh-CN" w:bidi="ar"/>
              </w:rPr>
              <w:t>245 905,33</w:t>
            </w:r>
          </w:p>
        </w:tc>
        <w:tc>
          <w:tcPr>
            <w:tcW w:w="1456" w:type="dxa"/>
            <w:shd w:val="clear" w:color="auto" w:fill="auto"/>
            <w:vAlign w:val="center"/>
          </w:tcPr>
          <w:p w14:paraId="67210B35">
            <w:pPr>
              <w:jc w:val="center"/>
              <w:textAlignment w:val="center"/>
              <w:rPr>
                <w:color w:val="000000"/>
                <w:sz w:val="22"/>
                <w:szCs w:val="22"/>
              </w:rPr>
            </w:pPr>
            <w:r>
              <w:rPr>
                <w:rFonts w:eastAsia="SimSun"/>
                <w:color w:val="000000"/>
                <w:sz w:val="22"/>
                <w:szCs w:val="22"/>
                <w:lang w:val="en-US" w:eastAsia="zh-CN" w:bidi="ar"/>
              </w:rPr>
              <w:t>579 001,72</w:t>
            </w:r>
          </w:p>
        </w:tc>
        <w:tc>
          <w:tcPr>
            <w:tcW w:w="1390" w:type="dxa"/>
            <w:shd w:val="clear" w:color="auto" w:fill="auto"/>
            <w:vAlign w:val="center"/>
          </w:tcPr>
          <w:p w14:paraId="0B76737F">
            <w:pPr>
              <w:jc w:val="center"/>
              <w:textAlignment w:val="center"/>
              <w:rPr>
                <w:color w:val="000000"/>
                <w:sz w:val="22"/>
                <w:szCs w:val="22"/>
              </w:rPr>
            </w:pPr>
            <w:r>
              <w:rPr>
                <w:rFonts w:eastAsia="SimSun"/>
                <w:color w:val="000000"/>
                <w:sz w:val="22"/>
                <w:szCs w:val="22"/>
                <w:lang w:val="en-US" w:eastAsia="zh-CN" w:bidi="ar"/>
              </w:rPr>
              <w:t>258 049,60</w:t>
            </w:r>
          </w:p>
        </w:tc>
        <w:tc>
          <w:tcPr>
            <w:tcW w:w="1123" w:type="dxa"/>
            <w:shd w:val="clear" w:color="auto" w:fill="auto"/>
            <w:vAlign w:val="center"/>
          </w:tcPr>
          <w:p w14:paraId="389BA536">
            <w:pPr>
              <w:jc w:val="center"/>
              <w:textAlignment w:val="center"/>
              <w:rPr>
                <w:color w:val="000000"/>
                <w:sz w:val="22"/>
                <w:szCs w:val="22"/>
              </w:rPr>
            </w:pPr>
            <w:r>
              <w:rPr>
                <w:rFonts w:eastAsia="SimSun"/>
                <w:color w:val="000000"/>
                <w:sz w:val="22"/>
                <w:szCs w:val="22"/>
                <w:lang w:val="en-US" w:eastAsia="zh-CN" w:bidi="ar"/>
              </w:rPr>
              <w:t>44,57</w:t>
            </w:r>
          </w:p>
        </w:tc>
        <w:tc>
          <w:tcPr>
            <w:tcW w:w="1276" w:type="dxa"/>
            <w:shd w:val="clear" w:color="auto" w:fill="auto"/>
            <w:vAlign w:val="center"/>
          </w:tcPr>
          <w:p w14:paraId="4BEE862F">
            <w:pPr>
              <w:jc w:val="center"/>
              <w:textAlignment w:val="center"/>
              <w:rPr>
                <w:color w:val="000000"/>
                <w:sz w:val="22"/>
                <w:szCs w:val="22"/>
              </w:rPr>
            </w:pPr>
            <w:r>
              <w:rPr>
                <w:rFonts w:eastAsia="SimSun"/>
                <w:color w:val="000000"/>
                <w:sz w:val="22"/>
                <w:szCs w:val="22"/>
                <w:lang w:val="en-US" w:eastAsia="zh-CN" w:bidi="ar"/>
              </w:rPr>
              <w:t>104,94</w:t>
            </w:r>
          </w:p>
        </w:tc>
      </w:tr>
      <w:tr w14:paraId="743E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22" w:type="dxa"/>
            <w:shd w:val="clear" w:color="auto" w:fill="auto"/>
            <w:vAlign w:val="center"/>
          </w:tcPr>
          <w:p w14:paraId="77D142DC">
            <w:pPr>
              <w:rPr>
                <w:color w:val="000000"/>
                <w:sz w:val="20"/>
                <w:szCs w:val="20"/>
              </w:rPr>
            </w:pPr>
            <w:r>
              <w:rPr>
                <w:color w:val="000000"/>
                <w:sz w:val="20"/>
                <w:szCs w:val="20"/>
              </w:rPr>
              <w:t xml:space="preserve">безвозмездные поступления </w:t>
            </w:r>
          </w:p>
        </w:tc>
        <w:tc>
          <w:tcPr>
            <w:tcW w:w="1404" w:type="dxa"/>
            <w:shd w:val="clear" w:color="auto" w:fill="auto"/>
            <w:vAlign w:val="center"/>
          </w:tcPr>
          <w:p w14:paraId="47B5E50C">
            <w:pPr>
              <w:jc w:val="center"/>
              <w:textAlignment w:val="center"/>
              <w:rPr>
                <w:color w:val="000000"/>
                <w:sz w:val="22"/>
                <w:szCs w:val="22"/>
              </w:rPr>
            </w:pPr>
            <w:r>
              <w:rPr>
                <w:rFonts w:eastAsia="SimSun"/>
                <w:color w:val="000000"/>
                <w:sz w:val="22"/>
                <w:szCs w:val="22"/>
                <w:lang w:val="en-US" w:eastAsia="zh-CN" w:bidi="ar"/>
              </w:rPr>
              <w:t>576 082,72</w:t>
            </w:r>
          </w:p>
        </w:tc>
        <w:tc>
          <w:tcPr>
            <w:tcW w:w="1456" w:type="dxa"/>
            <w:shd w:val="clear" w:color="auto" w:fill="auto"/>
            <w:vAlign w:val="center"/>
          </w:tcPr>
          <w:p w14:paraId="56D33679">
            <w:pPr>
              <w:jc w:val="center"/>
              <w:textAlignment w:val="center"/>
              <w:rPr>
                <w:color w:val="000000"/>
                <w:sz w:val="22"/>
                <w:szCs w:val="22"/>
              </w:rPr>
            </w:pPr>
            <w:r>
              <w:rPr>
                <w:rFonts w:eastAsia="SimSun"/>
                <w:color w:val="000000"/>
                <w:sz w:val="22"/>
                <w:szCs w:val="22"/>
                <w:lang w:val="en-US" w:eastAsia="zh-CN" w:bidi="ar"/>
              </w:rPr>
              <w:t>1193 067,07</w:t>
            </w:r>
          </w:p>
        </w:tc>
        <w:tc>
          <w:tcPr>
            <w:tcW w:w="1390" w:type="dxa"/>
            <w:shd w:val="clear" w:color="auto" w:fill="auto"/>
            <w:vAlign w:val="center"/>
          </w:tcPr>
          <w:p w14:paraId="328C1588">
            <w:pPr>
              <w:jc w:val="center"/>
              <w:textAlignment w:val="center"/>
              <w:rPr>
                <w:color w:val="000000"/>
                <w:sz w:val="22"/>
                <w:szCs w:val="22"/>
              </w:rPr>
            </w:pPr>
            <w:r>
              <w:rPr>
                <w:rFonts w:eastAsia="SimSun"/>
                <w:color w:val="000000"/>
                <w:sz w:val="22"/>
                <w:szCs w:val="22"/>
                <w:lang w:val="en-US" w:eastAsia="zh-CN" w:bidi="ar"/>
              </w:rPr>
              <w:t>777 803,54</w:t>
            </w:r>
          </w:p>
        </w:tc>
        <w:tc>
          <w:tcPr>
            <w:tcW w:w="1123" w:type="dxa"/>
            <w:shd w:val="clear" w:color="auto" w:fill="auto"/>
            <w:vAlign w:val="center"/>
          </w:tcPr>
          <w:p w14:paraId="6F695278">
            <w:pPr>
              <w:jc w:val="center"/>
              <w:textAlignment w:val="center"/>
              <w:rPr>
                <w:color w:val="000000"/>
                <w:sz w:val="22"/>
                <w:szCs w:val="22"/>
              </w:rPr>
            </w:pPr>
            <w:r>
              <w:rPr>
                <w:rFonts w:eastAsia="SimSun"/>
                <w:color w:val="000000"/>
                <w:sz w:val="22"/>
                <w:szCs w:val="22"/>
                <w:lang w:val="en-US" w:eastAsia="zh-CN" w:bidi="ar"/>
              </w:rPr>
              <w:t>65,19</w:t>
            </w:r>
          </w:p>
        </w:tc>
        <w:tc>
          <w:tcPr>
            <w:tcW w:w="1276" w:type="dxa"/>
            <w:shd w:val="clear" w:color="auto" w:fill="auto"/>
            <w:vAlign w:val="center"/>
          </w:tcPr>
          <w:p w14:paraId="2E3E30AA">
            <w:pPr>
              <w:jc w:val="center"/>
              <w:textAlignment w:val="center"/>
              <w:rPr>
                <w:color w:val="000000"/>
                <w:sz w:val="22"/>
                <w:szCs w:val="22"/>
              </w:rPr>
            </w:pPr>
            <w:r>
              <w:rPr>
                <w:rFonts w:eastAsia="SimSun"/>
                <w:color w:val="000000"/>
                <w:sz w:val="22"/>
                <w:szCs w:val="22"/>
                <w:lang w:val="en-US" w:eastAsia="zh-CN" w:bidi="ar"/>
              </w:rPr>
              <w:t>135,02</w:t>
            </w:r>
          </w:p>
        </w:tc>
      </w:tr>
      <w:tr w14:paraId="2300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22" w:type="dxa"/>
            <w:shd w:val="clear" w:color="auto" w:fill="auto"/>
            <w:vAlign w:val="center"/>
          </w:tcPr>
          <w:p w14:paraId="19DD76C8">
            <w:pPr>
              <w:rPr>
                <w:b/>
                <w:color w:val="000000"/>
                <w:sz w:val="20"/>
                <w:szCs w:val="20"/>
              </w:rPr>
            </w:pPr>
            <w:r>
              <w:rPr>
                <w:b/>
                <w:color w:val="000000"/>
                <w:sz w:val="20"/>
                <w:szCs w:val="20"/>
              </w:rPr>
              <w:t>Расходы бюджета</w:t>
            </w:r>
          </w:p>
        </w:tc>
        <w:tc>
          <w:tcPr>
            <w:tcW w:w="1404" w:type="dxa"/>
            <w:shd w:val="clear" w:color="auto" w:fill="auto"/>
            <w:vAlign w:val="bottom"/>
          </w:tcPr>
          <w:p w14:paraId="49ED317A">
            <w:pPr>
              <w:jc w:val="center"/>
              <w:textAlignment w:val="bottom"/>
              <w:rPr>
                <w:color w:val="000000"/>
                <w:sz w:val="22"/>
                <w:szCs w:val="22"/>
              </w:rPr>
            </w:pPr>
            <w:r>
              <w:rPr>
                <w:rFonts w:eastAsia="SimSun"/>
                <w:color w:val="000000"/>
                <w:sz w:val="22"/>
                <w:szCs w:val="22"/>
                <w:lang w:val="en-US" w:eastAsia="zh-CN" w:bidi="ar"/>
              </w:rPr>
              <w:t>796 441,45</w:t>
            </w:r>
          </w:p>
        </w:tc>
        <w:tc>
          <w:tcPr>
            <w:tcW w:w="1456" w:type="dxa"/>
            <w:shd w:val="clear" w:color="auto" w:fill="auto"/>
            <w:vAlign w:val="center"/>
          </w:tcPr>
          <w:p w14:paraId="4AB40DA0">
            <w:pPr>
              <w:jc w:val="center"/>
              <w:textAlignment w:val="center"/>
              <w:rPr>
                <w:color w:val="000000"/>
                <w:sz w:val="22"/>
                <w:szCs w:val="22"/>
              </w:rPr>
            </w:pPr>
            <w:r>
              <w:rPr>
                <w:rFonts w:eastAsia="SimSun"/>
                <w:color w:val="000000"/>
                <w:sz w:val="22"/>
                <w:szCs w:val="22"/>
                <w:lang w:val="en-US" w:eastAsia="zh-CN" w:bidi="ar"/>
              </w:rPr>
              <w:t>1809 145,24</w:t>
            </w:r>
          </w:p>
        </w:tc>
        <w:tc>
          <w:tcPr>
            <w:tcW w:w="1390" w:type="dxa"/>
            <w:shd w:val="clear" w:color="auto" w:fill="auto"/>
            <w:vAlign w:val="bottom"/>
          </w:tcPr>
          <w:p w14:paraId="5F4A1AB8">
            <w:pPr>
              <w:jc w:val="center"/>
              <w:textAlignment w:val="bottom"/>
              <w:rPr>
                <w:color w:val="000000"/>
                <w:sz w:val="22"/>
                <w:szCs w:val="22"/>
              </w:rPr>
            </w:pPr>
            <w:r>
              <w:rPr>
                <w:rFonts w:eastAsia="SimSun"/>
                <w:color w:val="000000"/>
                <w:sz w:val="22"/>
                <w:szCs w:val="22"/>
                <w:lang w:val="en-US" w:eastAsia="zh-CN" w:bidi="ar"/>
              </w:rPr>
              <w:t>1021 982,56</w:t>
            </w:r>
          </w:p>
        </w:tc>
        <w:tc>
          <w:tcPr>
            <w:tcW w:w="1123" w:type="dxa"/>
            <w:shd w:val="clear" w:color="auto" w:fill="auto"/>
            <w:vAlign w:val="center"/>
          </w:tcPr>
          <w:p w14:paraId="3BF60D58">
            <w:pPr>
              <w:jc w:val="center"/>
              <w:textAlignment w:val="center"/>
              <w:rPr>
                <w:color w:val="000000"/>
                <w:sz w:val="22"/>
                <w:szCs w:val="22"/>
              </w:rPr>
            </w:pPr>
            <w:r>
              <w:rPr>
                <w:rFonts w:eastAsia="SimSun"/>
                <w:color w:val="000000"/>
                <w:sz w:val="22"/>
                <w:szCs w:val="22"/>
                <w:lang w:val="en-US" w:eastAsia="zh-CN" w:bidi="ar"/>
              </w:rPr>
              <w:t>56,49</w:t>
            </w:r>
          </w:p>
        </w:tc>
        <w:tc>
          <w:tcPr>
            <w:tcW w:w="1276" w:type="dxa"/>
            <w:shd w:val="clear" w:color="auto" w:fill="auto"/>
            <w:vAlign w:val="center"/>
          </w:tcPr>
          <w:p w14:paraId="3757899B">
            <w:pPr>
              <w:jc w:val="center"/>
              <w:textAlignment w:val="center"/>
              <w:rPr>
                <w:color w:val="000000"/>
                <w:sz w:val="22"/>
                <w:szCs w:val="22"/>
              </w:rPr>
            </w:pPr>
            <w:r>
              <w:rPr>
                <w:rFonts w:eastAsia="SimSun"/>
                <w:color w:val="000000"/>
                <w:sz w:val="22"/>
                <w:szCs w:val="22"/>
                <w:lang w:val="en-US" w:eastAsia="zh-CN" w:bidi="ar"/>
              </w:rPr>
              <w:t>128,32</w:t>
            </w:r>
          </w:p>
        </w:tc>
      </w:tr>
      <w:tr w14:paraId="295D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722" w:type="dxa"/>
            <w:shd w:val="clear" w:color="auto" w:fill="auto"/>
            <w:vAlign w:val="center"/>
          </w:tcPr>
          <w:p w14:paraId="31A12D5C">
            <w:pPr>
              <w:rPr>
                <w:color w:val="000000"/>
                <w:sz w:val="20"/>
                <w:szCs w:val="20"/>
              </w:rPr>
            </w:pPr>
            <w:r>
              <w:rPr>
                <w:color w:val="000000"/>
                <w:sz w:val="20"/>
                <w:szCs w:val="20"/>
              </w:rPr>
              <w:t>Дефицит (-)/ профицит (+)</w:t>
            </w:r>
          </w:p>
        </w:tc>
        <w:tc>
          <w:tcPr>
            <w:tcW w:w="1404" w:type="dxa"/>
            <w:shd w:val="clear" w:color="auto" w:fill="auto"/>
            <w:vAlign w:val="center"/>
          </w:tcPr>
          <w:p w14:paraId="0ACD5636">
            <w:pPr>
              <w:jc w:val="center"/>
              <w:textAlignment w:val="center"/>
              <w:rPr>
                <w:color w:val="000000"/>
                <w:sz w:val="22"/>
                <w:szCs w:val="22"/>
              </w:rPr>
            </w:pPr>
            <w:r>
              <w:rPr>
                <w:rFonts w:eastAsia="SimSun"/>
                <w:color w:val="000000"/>
                <w:sz w:val="22"/>
                <w:szCs w:val="22"/>
                <w:lang w:val="en-US" w:eastAsia="zh-CN" w:bidi="ar"/>
              </w:rPr>
              <w:t>25 546,61</w:t>
            </w:r>
          </w:p>
        </w:tc>
        <w:tc>
          <w:tcPr>
            <w:tcW w:w="1456" w:type="dxa"/>
            <w:shd w:val="clear" w:color="auto" w:fill="auto"/>
            <w:vAlign w:val="center"/>
          </w:tcPr>
          <w:p w14:paraId="7195320D">
            <w:pPr>
              <w:jc w:val="center"/>
              <w:textAlignment w:val="center"/>
              <w:rPr>
                <w:color w:val="000000"/>
                <w:sz w:val="22"/>
                <w:szCs w:val="22"/>
              </w:rPr>
            </w:pPr>
            <w:r>
              <w:rPr>
                <w:rFonts w:eastAsia="SimSun"/>
                <w:color w:val="000000"/>
                <w:sz w:val="22"/>
                <w:szCs w:val="22"/>
                <w:lang w:val="en-US" w:eastAsia="zh-CN" w:bidi="ar"/>
              </w:rPr>
              <w:t>-37 076,45</w:t>
            </w:r>
          </w:p>
        </w:tc>
        <w:tc>
          <w:tcPr>
            <w:tcW w:w="1390" w:type="dxa"/>
            <w:shd w:val="clear" w:color="auto" w:fill="auto"/>
            <w:vAlign w:val="center"/>
          </w:tcPr>
          <w:p w14:paraId="06D11DB3">
            <w:pPr>
              <w:jc w:val="center"/>
              <w:textAlignment w:val="center"/>
              <w:rPr>
                <w:color w:val="000000"/>
                <w:sz w:val="22"/>
                <w:szCs w:val="22"/>
              </w:rPr>
            </w:pPr>
            <w:r>
              <w:rPr>
                <w:rFonts w:eastAsia="SimSun"/>
                <w:color w:val="000000"/>
                <w:sz w:val="22"/>
                <w:szCs w:val="22"/>
                <w:lang w:val="en-US" w:eastAsia="zh-CN" w:bidi="ar"/>
              </w:rPr>
              <w:t>13 870,58</w:t>
            </w:r>
          </w:p>
        </w:tc>
        <w:tc>
          <w:tcPr>
            <w:tcW w:w="1123" w:type="dxa"/>
            <w:shd w:val="clear" w:color="auto" w:fill="auto"/>
            <w:vAlign w:val="center"/>
          </w:tcPr>
          <w:p w14:paraId="4800F344">
            <w:pPr>
              <w:jc w:val="center"/>
              <w:textAlignment w:val="center"/>
              <w:rPr>
                <w:color w:val="000000"/>
                <w:sz w:val="22"/>
                <w:szCs w:val="22"/>
              </w:rPr>
            </w:pPr>
            <w:r>
              <w:rPr>
                <w:rFonts w:eastAsia="SimSun"/>
                <w:color w:val="000000"/>
                <w:sz w:val="22"/>
                <w:szCs w:val="22"/>
                <w:lang w:val="en-US" w:eastAsia="zh-CN" w:bidi="ar"/>
              </w:rPr>
              <w:t>х</w:t>
            </w:r>
          </w:p>
        </w:tc>
        <w:tc>
          <w:tcPr>
            <w:tcW w:w="1276" w:type="dxa"/>
            <w:shd w:val="clear" w:color="auto" w:fill="auto"/>
            <w:vAlign w:val="center"/>
          </w:tcPr>
          <w:p w14:paraId="37CEB27A">
            <w:pPr>
              <w:jc w:val="center"/>
              <w:textAlignment w:val="center"/>
              <w:rPr>
                <w:color w:val="000000"/>
                <w:sz w:val="22"/>
                <w:szCs w:val="22"/>
              </w:rPr>
            </w:pPr>
            <w:r>
              <w:rPr>
                <w:rFonts w:eastAsia="SimSun"/>
                <w:color w:val="000000"/>
                <w:sz w:val="22"/>
                <w:szCs w:val="22"/>
                <w:lang w:val="en-US" w:eastAsia="zh-CN" w:bidi="ar"/>
              </w:rPr>
              <w:t>х</w:t>
            </w:r>
          </w:p>
        </w:tc>
      </w:tr>
    </w:tbl>
    <w:p w14:paraId="27747225">
      <w:pPr>
        <w:pStyle w:val="10"/>
        <w:ind w:left="0" w:firstLine="567"/>
        <w:jc w:val="both"/>
      </w:pPr>
      <w:r>
        <w:t>Основные параметры исполнения бюджета:</w:t>
      </w:r>
    </w:p>
    <w:p w14:paraId="62D734FF">
      <w:pPr>
        <w:pStyle w:val="10"/>
        <w:ind w:left="0" w:firstLine="567"/>
        <w:jc w:val="both"/>
      </w:pPr>
      <w:r>
        <w:t xml:space="preserve">- по </w:t>
      </w:r>
      <w:r>
        <w:rPr>
          <w:b/>
          <w:i/>
        </w:rPr>
        <w:t>доходам</w:t>
      </w:r>
      <w:r>
        <w:t xml:space="preserve"> исполнение составило 1035853,14 тыс. руб. или 58,45% к утверждённому прогнозу (1772068,79 тыс. руб.), увеличение общего объёма доходов относительно аналогичного периода 2023 года составляет 26,02% или на 213865,08 тыс. руб. за счёт увеличения безвозмездных поступлений на 201720,82 тыс. руб. и собственных доходов бюджета на 12144,26 тыс. руб.</w:t>
      </w:r>
    </w:p>
    <w:p w14:paraId="0B6D9E9C">
      <w:pPr>
        <w:pStyle w:val="10"/>
        <w:ind w:left="0" w:firstLine="567"/>
        <w:jc w:val="both"/>
      </w:pPr>
      <w:r>
        <w:t xml:space="preserve">- по </w:t>
      </w:r>
      <w:r>
        <w:rPr>
          <w:b/>
          <w:i/>
        </w:rPr>
        <w:t>расходам</w:t>
      </w:r>
      <w:r>
        <w:t xml:space="preserve"> исполнение составило 1021982,56 тыс. руб. или 56,49% от годовых назначений (1 809 145,24 тыс. руб.), увеличение общего объёма расходов относительно аналогичного периода 2023 года составляет 28,32 % или на 225541,11 тыс. руб.;</w:t>
      </w:r>
    </w:p>
    <w:p w14:paraId="5D7C6C9E">
      <w:pPr>
        <w:pStyle w:val="10"/>
        <w:ind w:left="0" w:firstLine="567"/>
        <w:jc w:val="both"/>
      </w:pPr>
      <w:r>
        <w:t xml:space="preserve">- по результату исполнения бюджета сложился </w:t>
      </w:r>
      <w:r>
        <w:rPr>
          <w:b/>
          <w:i/>
        </w:rPr>
        <w:t>профицит</w:t>
      </w:r>
      <w:r>
        <w:t xml:space="preserve"> в размере 13870,58 тыс. руб.</w:t>
      </w:r>
    </w:p>
    <w:p w14:paraId="5C29A754">
      <w:pPr>
        <w:pStyle w:val="10"/>
        <w:numPr>
          <w:ilvl w:val="0"/>
          <w:numId w:val="1"/>
        </w:numPr>
        <w:jc w:val="center"/>
        <w:rPr>
          <w:b/>
        </w:rPr>
      </w:pPr>
      <w:r>
        <w:rPr>
          <w:b/>
        </w:rPr>
        <w:t>Анализ исполнения доходной части бюджета.</w:t>
      </w:r>
    </w:p>
    <w:p w14:paraId="4E7BCD75">
      <w:pPr>
        <w:pStyle w:val="10"/>
        <w:ind w:left="1080"/>
        <w:rPr>
          <w:b/>
        </w:rPr>
      </w:pPr>
    </w:p>
    <w:p w14:paraId="2043C03C">
      <w:pPr>
        <w:ind w:firstLine="567"/>
        <w:jc w:val="both"/>
      </w:pPr>
      <w:r>
        <w:t>За 1 полугодие 2024 года</w:t>
      </w:r>
      <w:r>
        <w:rPr>
          <w:b/>
        </w:rPr>
        <w:t xml:space="preserve"> </w:t>
      </w:r>
      <w:r>
        <w:rPr>
          <w:b/>
          <w:i/>
        </w:rPr>
        <w:t xml:space="preserve">в доходную часть бюджета </w:t>
      </w:r>
      <w:r>
        <w:t>поступило 1035853,14 тыс. руб., что на 213865,08 тыс.руб. больше, чем в аналогичном периоде прошлого года (821 988,06 тыс. руб.), за счёт увеличения налоговых доходов на 13242,09 тыс. руб., снижения неналоговых доходов на (-1097,83) тыс. руб. и ростом безвозмездных поступлений на 201720,82 тыс. руб.</w:t>
      </w:r>
    </w:p>
    <w:p w14:paraId="1A4289A8">
      <w:pPr>
        <w:shd w:val="clear" w:color="auto" w:fill="FFFFFF"/>
        <w:ind w:firstLine="709"/>
        <w:jc w:val="both"/>
      </w:pPr>
      <w:r>
        <w:t>Показатели исполнения собственных доходов бюджета по состоянию на 01.07.2024г. представлены в Таблице №2:</w:t>
      </w:r>
    </w:p>
    <w:p w14:paraId="5B2BEB2C">
      <w:pPr>
        <w:shd w:val="clear" w:color="auto" w:fill="FFFFFF"/>
        <w:ind w:firstLine="709"/>
        <w:jc w:val="right"/>
      </w:pPr>
      <w:r>
        <w:t>Таблица №2 (тыс. руб.)</w:t>
      </w:r>
    </w:p>
    <w:tbl>
      <w:tblPr>
        <w:tblStyle w:val="3"/>
        <w:tblW w:w="9356" w:type="dxa"/>
        <w:tblInd w:w="0" w:type="dxa"/>
        <w:tblLayout w:type="autofit"/>
        <w:tblCellMar>
          <w:top w:w="0" w:type="dxa"/>
          <w:left w:w="108" w:type="dxa"/>
          <w:bottom w:w="0" w:type="dxa"/>
          <w:right w:w="108" w:type="dxa"/>
        </w:tblCellMar>
      </w:tblPr>
      <w:tblGrid>
        <w:gridCol w:w="2353"/>
        <w:gridCol w:w="1220"/>
        <w:gridCol w:w="1276"/>
        <w:gridCol w:w="1702"/>
        <w:gridCol w:w="1469"/>
        <w:gridCol w:w="1336"/>
      </w:tblGrid>
      <w:tr w14:paraId="4DF58E78">
        <w:tblPrEx>
          <w:tblCellMar>
            <w:top w:w="0" w:type="dxa"/>
            <w:left w:w="108" w:type="dxa"/>
            <w:bottom w:w="0" w:type="dxa"/>
            <w:right w:w="108" w:type="dxa"/>
          </w:tblCellMar>
        </w:tblPrEx>
        <w:trPr>
          <w:trHeight w:val="114" w:hRule="atLeast"/>
        </w:trPr>
        <w:tc>
          <w:tcPr>
            <w:tcW w:w="2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A8CA79">
            <w:pPr>
              <w:jc w:val="center"/>
              <w:textAlignment w:val="center"/>
              <w:rPr>
                <w:color w:val="000000"/>
                <w:sz w:val="20"/>
                <w:szCs w:val="20"/>
              </w:rPr>
            </w:pPr>
            <w:r>
              <w:rPr>
                <w:rFonts w:eastAsia="SimSun"/>
                <w:color w:val="000000"/>
                <w:sz w:val="20"/>
                <w:szCs w:val="20"/>
                <w:lang w:val="en-US" w:eastAsia="zh-CN" w:bidi="ar"/>
              </w:rPr>
              <w:t>Наименование  источника</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C1B2BC">
            <w:pPr>
              <w:jc w:val="center"/>
              <w:textAlignment w:val="center"/>
              <w:rPr>
                <w:color w:val="000000"/>
                <w:sz w:val="20"/>
                <w:szCs w:val="20"/>
              </w:rPr>
            </w:pPr>
            <w:r>
              <w:rPr>
                <w:rFonts w:eastAsia="SimSun"/>
                <w:color w:val="000000"/>
                <w:sz w:val="20"/>
                <w:szCs w:val="20"/>
                <w:lang w:eastAsia="zh-CN" w:bidi="ar"/>
              </w:rPr>
              <w:t>И</w:t>
            </w:r>
            <w:r>
              <w:rPr>
                <w:rFonts w:eastAsia="SimSun"/>
                <w:color w:val="000000"/>
                <w:sz w:val="20"/>
                <w:szCs w:val="20"/>
                <w:lang w:val="en-US" w:eastAsia="zh-CN" w:bidi="ar"/>
              </w:rPr>
              <w:t>сполнение бюджета на 01.07.2023г</w:t>
            </w:r>
          </w:p>
        </w:tc>
        <w:tc>
          <w:tcPr>
            <w:tcW w:w="4255" w:type="dxa"/>
            <w:gridSpan w:val="3"/>
            <w:tcBorders>
              <w:top w:val="single" w:color="auto" w:sz="4" w:space="0"/>
              <w:left w:val="nil"/>
              <w:bottom w:val="single" w:color="auto" w:sz="4" w:space="0"/>
              <w:right w:val="single" w:color="auto" w:sz="4" w:space="0"/>
            </w:tcBorders>
            <w:shd w:val="clear" w:color="auto" w:fill="auto"/>
            <w:vAlign w:val="center"/>
          </w:tcPr>
          <w:p w14:paraId="35A63FD3">
            <w:pPr>
              <w:jc w:val="center"/>
              <w:textAlignment w:val="center"/>
              <w:rPr>
                <w:b/>
                <w:bCs/>
                <w:color w:val="000000"/>
                <w:sz w:val="20"/>
                <w:szCs w:val="20"/>
              </w:rPr>
            </w:pPr>
            <w:r>
              <w:rPr>
                <w:rFonts w:eastAsia="SimSun"/>
                <w:b/>
                <w:bCs/>
                <w:color w:val="000000"/>
                <w:sz w:val="20"/>
                <w:szCs w:val="20"/>
                <w:lang w:val="en-US" w:eastAsia="zh-CN" w:bidi="ar"/>
              </w:rPr>
              <w:t>2024 год</w:t>
            </w: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AD68B2">
            <w:pPr>
              <w:jc w:val="center"/>
              <w:textAlignment w:val="center"/>
              <w:rPr>
                <w:color w:val="000000"/>
                <w:sz w:val="20"/>
                <w:szCs w:val="20"/>
              </w:rPr>
            </w:pPr>
            <w:r>
              <w:rPr>
                <w:rFonts w:eastAsia="SimSun"/>
                <w:color w:val="000000"/>
                <w:sz w:val="20"/>
                <w:szCs w:val="20"/>
                <w:lang w:eastAsia="zh-CN" w:bidi="ar"/>
              </w:rPr>
              <w:t>Темпы роста 2024 к 2023 (%) гр.4/гр.2*100</w:t>
            </w:r>
          </w:p>
        </w:tc>
      </w:tr>
      <w:tr w14:paraId="578A45F9">
        <w:tblPrEx>
          <w:tblCellMar>
            <w:top w:w="0" w:type="dxa"/>
            <w:left w:w="108" w:type="dxa"/>
            <w:bottom w:w="0" w:type="dxa"/>
            <w:right w:w="108" w:type="dxa"/>
          </w:tblCellMar>
        </w:tblPrEx>
        <w:trPr>
          <w:trHeight w:val="236" w:hRule="atLeast"/>
        </w:trPr>
        <w:tc>
          <w:tcPr>
            <w:tcW w:w="2545" w:type="dxa"/>
            <w:vMerge w:val="continue"/>
            <w:tcBorders>
              <w:top w:val="single" w:color="auto" w:sz="4" w:space="0"/>
              <w:left w:val="single" w:color="auto" w:sz="4" w:space="0"/>
              <w:bottom w:val="single" w:color="auto" w:sz="4" w:space="0"/>
              <w:right w:val="single" w:color="auto" w:sz="4" w:space="0"/>
            </w:tcBorders>
            <w:vAlign w:val="center"/>
          </w:tcPr>
          <w:p w14:paraId="76A10F41">
            <w:pPr>
              <w:jc w:val="center"/>
              <w:rPr>
                <w:color w:val="000000"/>
                <w:sz w:val="20"/>
                <w:szCs w:val="20"/>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5AAC4AF4">
            <w:pPr>
              <w:jc w:val="center"/>
              <w:rPr>
                <w:color w:val="000000"/>
                <w:sz w:val="20"/>
                <w:szCs w:val="20"/>
              </w:rPr>
            </w:pPr>
          </w:p>
        </w:tc>
        <w:tc>
          <w:tcPr>
            <w:tcW w:w="1276" w:type="dxa"/>
            <w:tcBorders>
              <w:top w:val="nil"/>
              <w:left w:val="nil"/>
              <w:bottom w:val="single" w:color="auto" w:sz="4" w:space="0"/>
              <w:right w:val="single" w:color="auto" w:sz="4" w:space="0"/>
            </w:tcBorders>
            <w:shd w:val="clear" w:color="auto" w:fill="auto"/>
            <w:vAlign w:val="center"/>
          </w:tcPr>
          <w:p w14:paraId="51AFE8A1">
            <w:pPr>
              <w:jc w:val="center"/>
              <w:textAlignment w:val="center"/>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прогноз</w:t>
            </w:r>
          </w:p>
        </w:tc>
        <w:tc>
          <w:tcPr>
            <w:tcW w:w="1702" w:type="dxa"/>
            <w:tcBorders>
              <w:top w:val="nil"/>
              <w:left w:val="nil"/>
              <w:bottom w:val="single" w:color="auto" w:sz="4" w:space="0"/>
              <w:right w:val="single" w:color="auto" w:sz="4" w:space="0"/>
            </w:tcBorders>
            <w:shd w:val="clear" w:color="auto" w:fill="auto"/>
            <w:vAlign w:val="center"/>
          </w:tcPr>
          <w:p w14:paraId="6164AA09">
            <w:pPr>
              <w:jc w:val="center"/>
              <w:textAlignment w:val="center"/>
              <w:rPr>
                <w:color w:val="000000"/>
                <w:sz w:val="20"/>
                <w:szCs w:val="20"/>
              </w:rPr>
            </w:pPr>
            <w:r>
              <w:rPr>
                <w:rFonts w:eastAsia="SimSun"/>
                <w:color w:val="000000"/>
                <w:sz w:val="20"/>
                <w:szCs w:val="20"/>
                <w:lang w:val="en-US" w:eastAsia="zh-CN" w:bidi="ar"/>
              </w:rPr>
              <w:t xml:space="preserve">исполнение на 01.07.2024г </w:t>
            </w:r>
          </w:p>
        </w:tc>
        <w:tc>
          <w:tcPr>
            <w:tcW w:w="1277" w:type="dxa"/>
            <w:tcBorders>
              <w:top w:val="nil"/>
              <w:left w:val="nil"/>
              <w:bottom w:val="single" w:color="auto" w:sz="4" w:space="0"/>
              <w:right w:val="single" w:color="auto" w:sz="4" w:space="0"/>
            </w:tcBorders>
            <w:shd w:val="clear" w:color="auto" w:fill="auto"/>
            <w:vAlign w:val="center"/>
          </w:tcPr>
          <w:p w14:paraId="41DC84E8">
            <w:pPr>
              <w:jc w:val="center"/>
              <w:textAlignment w:val="center"/>
              <w:rPr>
                <w:color w:val="000000"/>
                <w:sz w:val="20"/>
                <w:szCs w:val="20"/>
              </w:rPr>
            </w:pPr>
            <w:r>
              <w:rPr>
                <w:rFonts w:eastAsia="SimSun"/>
                <w:color w:val="000000"/>
                <w:sz w:val="20"/>
                <w:szCs w:val="20"/>
                <w:lang w:val="en-US" w:eastAsia="zh-CN" w:bidi="ar"/>
              </w:rPr>
              <w:t>% исполнения</w:t>
            </w:r>
            <w:r>
              <w:rPr>
                <w:rFonts w:eastAsia="SimSun"/>
                <w:color w:val="000000"/>
                <w:sz w:val="20"/>
                <w:szCs w:val="20"/>
                <w:lang w:eastAsia="zh-CN" w:bidi="ar"/>
              </w:rPr>
              <w:t xml:space="preserve"> (гр.4/гр.3*100)</w:t>
            </w: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745C02BF">
            <w:pPr>
              <w:jc w:val="center"/>
              <w:rPr>
                <w:color w:val="000000"/>
                <w:sz w:val="20"/>
                <w:szCs w:val="20"/>
              </w:rPr>
            </w:pPr>
          </w:p>
        </w:tc>
      </w:tr>
      <w:tr w14:paraId="07D7BE0B">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2450705D">
            <w:pPr>
              <w:jc w:val="center"/>
              <w:textAlignment w:val="center"/>
              <w:rPr>
                <w:color w:val="000000"/>
                <w:sz w:val="20"/>
                <w:szCs w:val="20"/>
              </w:rPr>
            </w:pPr>
            <w:r>
              <w:rPr>
                <w:rFonts w:eastAsia="SimSun"/>
                <w:color w:val="000000"/>
                <w:sz w:val="20"/>
                <w:szCs w:val="20"/>
                <w:lang w:val="en-US" w:eastAsia="zh-CN" w:bidi="ar"/>
              </w:rPr>
              <w:t>гр.1</w:t>
            </w:r>
          </w:p>
        </w:tc>
        <w:tc>
          <w:tcPr>
            <w:tcW w:w="1220" w:type="dxa"/>
            <w:tcBorders>
              <w:top w:val="nil"/>
              <w:left w:val="nil"/>
              <w:bottom w:val="single" w:color="auto" w:sz="4" w:space="0"/>
              <w:right w:val="single" w:color="auto" w:sz="4" w:space="0"/>
            </w:tcBorders>
            <w:shd w:val="clear" w:color="auto" w:fill="auto"/>
            <w:vAlign w:val="center"/>
          </w:tcPr>
          <w:p w14:paraId="494F4FDD">
            <w:pPr>
              <w:jc w:val="center"/>
              <w:textAlignment w:val="center"/>
              <w:rPr>
                <w:color w:val="000000"/>
                <w:sz w:val="20"/>
                <w:szCs w:val="20"/>
              </w:rPr>
            </w:pPr>
            <w:r>
              <w:rPr>
                <w:rFonts w:eastAsia="SimSun"/>
                <w:color w:val="000000"/>
                <w:sz w:val="20"/>
                <w:szCs w:val="20"/>
                <w:lang w:val="en-US" w:eastAsia="zh-CN" w:bidi="ar"/>
              </w:rPr>
              <w:t>гр.2</w:t>
            </w:r>
          </w:p>
        </w:tc>
        <w:tc>
          <w:tcPr>
            <w:tcW w:w="1276" w:type="dxa"/>
            <w:tcBorders>
              <w:top w:val="nil"/>
              <w:left w:val="nil"/>
              <w:bottom w:val="single" w:color="auto" w:sz="4" w:space="0"/>
              <w:right w:val="single" w:color="auto" w:sz="4" w:space="0"/>
            </w:tcBorders>
            <w:shd w:val="clear" w:color="auto" w:fill="auto"/>
            <w:vAlign w:val="center"/>
          </w:tcPr>
          <w:p w14:paraId="15027B2E">
            <w:pPr>
              <w:jc w:val="center"/>
              <w:textAlignment w:val="center"/>
              <w:rPr>
                <w:color w:val="000000"/>
                <w:sz w:val="20"/>
                <w:szCs w:val="20"/>
              </w:rPr>
            </w:pPr>
            <w:r>
              <w:rPr>
                <w:rFonts w:eastAsia="SimSun"/>
                <w:color w:val="000000"/>
                <w:sz w:val="20"/>
                <w:szCs w:val="20"/>
                <w:lang w:val="en-US" w:eastAsia="zh-CN" w:bidi="ar"/>
              </w:rPr>
              <w:t>гр.3</w:t>
            </w:r>
          </w:p>
        </w:tc>
        <w:tc>
          <w:tcPr>
            <w:tcW w:w="1702" w:type="dxa"/>
            <w:tcBorders>
              <w:top w:val="nil"/>
              <w:left w:val="nil"/>
              <w:bottom w:val="single" w:color="auto" w:sz="4" w:space="0"/>
              <w:right w:val="single" w:color="auto" w:sz="4" w:space="0"/>
            </w:tcBorders>
            <w:shd w:val="clear" w:color="auto" w:fill="auto"/>
            <w:vAlign w:val="center"/>
          </w:tcPr>
          <w:p w14:paraId="3BF2C376">
            <w:pPr>
              <w:jc w:val="center"/>
              <w:textAlignment w:val="center"/>
              <w:rPr>
                <w:color w:val="000000"/>
                <w:sz w:val="20"/>
                <w:szCs w:val="20"/>
              </w:rPr>
            </w:pPr>
            <w:r>
              <w:rPr>
                <w:rFonts w:eastAsia="SimSun"/>
                <w:color w:val="000000"/>
                <w:sz w:val="20"/>
                <w:szCs w:val="20"/>
                <w:lang w:val="en-US" w:eastAsia="zh-CN" w:bidi="ar"/>
              </w:rPr>
              <w:t>гр.4</w:t>
            </w:r>
          </w:p>
        </w:tc>
        <w:tc>
          <w:tcPr>
            <w:tcW w:w="1277" w:type="dxa"/>
            <w:tcBorders>
              <w:top w:val="nil"/>
              <w:left w:val="nil"/>
              <w:bottom w:val="single" w:color="auto" w:sz="4" w:space="0"/>
              <w:right w:val="single" w:color="auto" w:sz="4" w:space="0"/>
            </w:tcBorders>
            <w:shd w:val="clear" w:color="auto" w:fill="auto"/>
            <w:vAlign w:val="center"/>
          </w:tcPr>
          <w:p w14:paraId="188ECAA8">
            <w:pPr>
              <w:jc w:val="center"/>
              <w:textAlignment w:val="center"/>
              <w:rPr>
                <w:color w:val="000000"/>
                <w:sz w:val="20"/>
                <w:szCs w:val="20"/>
              </w:rPr>
            </w:pPr>
            <w:r>
              <w:rPr>
                <w:rFonts w:eastAsia="SimSun"/>
                <w:color w:val="000000"/>
                <w:sz w:val="20"/>
                <w:szCs w:val="20"/>
                <w:lang w:val="en-US" w:eastAsia="zh-CN" w:bidi="ar"/>
              </w:rPr>
              <w:t>гр.5</w:t>
            </w:r>
          </w:p>
        </w:tc>
        <w:tc>
          <w:tcPr>
            <w:tcW w:w="1336" w:type="dxa"/>
            <w:tcBorders>
              <w:top w:val="nil"/>
              <w:left w:val="nil"/>
              <w:bottom w:val="single" w:color="auto" w:sz="4" w:space="0"/>
              <w:right w:val="single" w:color="auto" w:sz="4" w:space="0"/>
            </w:tcBorders>
            <w:shd w:val="clear" w:color="auto" w:fill="auto"/>
            <w:vAlign w:val="center"/>
          </w:tcPr>
          <w:p w14:paraId="4ACCDE1F">
            <w:pPr>
              <w:jc w:val="center"/>
              <w:textAlignment w:val="center"/>
              <w:rPr>
                <w:color w:val="000000"/>
                <w:sz w:val="20"/>
                <w:szCs w:val="20"/>
              </w:rPr>
            </w:pPr>
            <w:r>
              <w:rPr>
                <w:rFonts w:eastAsia="SimSun"/>
                <w:color w:val="000000"/>
                <w:sz w:val="20"/>
                <w:szCs w:val="20"/>
                <w:lang w:val="en-US" w:eastAsia="zh-CN" w:bidi="ar"/>
              </w:rPr>
              <w:t>гр.6</w:t>
            </w:r>
          </w:p>
        </w:tc>
      </w:tr>
      <w:tr w14:paraId="29C9843A">
        <w:tblPrEx>
          <w:tblCellMar>
            <w:top w:w="0" w:type="dxa"/>
            <w:left w:w="108" w:type="dxa"/>
            <w:bottom w:w="0" w:type="dxa"/>
            <w:right w:w="108" w:type="dxa"/>
          </w:tblCellMar>
        </w:tblPrEx>
        <w:trPr>
          <w:trHeight w:val="445"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3F659D81">
            <w:pPr>
              <w:textAlignment w:val="center"/>
              <w:rPr>
                <w:b/>
                <w:bCs/>
                <w:color w:val="000000"/>
                <w:sz w:val="20"/>
                <w:szCs w:val="20"/>
              </w:rPr>
            </w:pPr>
            <w:r>
              <w:rPr>
                <w:rFonts w:eastAsia="SimSun"/>
                <w:b/>
                <w:bCs/>
                <w:color w:val="000000"/>
                <w:sz w:val="20"/>
                <w:szCs w:val="20"/>
                <w:lang w:eastAsia="zh-CN" w:bidi="ar"/>
              </w:rPr>
              <w:t>Налоговые и неналоговые доходы, из них:</w:t>
            </w:r>
          </w:p>
        </w:tc>
        <w:tc>
          <w:tcPr>
            <w:tcW w:w="1220" w:type="dxa"/>
            <w:tcBorders>
              <w:top w:val="nil"/>
              <w:left w:val="nil"/>
              <w:bottom w:val="single" w:color="auto" w:sz="4" w:space="0"/>
              <w:right w:val="single" w:color="auto" w:sz="4" w:space="0"/>
            </w:tcBorders>
            <w:shd w:val="clear" w:color="auto" w:fill="auto"/>
            <w:vAlign w:val="bottom"/>
          </w:tcPr>
          <w:p w14:paraId="19706132">
            <w:pPr>
              <w:jc w:val="center"/>
              <w:textAlignment w:val="bottom"/>
              <w:rPr>
                <w:b/>
                <w:bCs/>
                <w:color w:val="000000"/>
                <w:sz w:val="20"/>
                <w:szCs w:val="20"/>
              </w:rPr>
            </w:pPr>
            <w:r>
              <w:rPr>
                <w:rFonts w:eastAsia="SimSun"/>
                <w:b/>
                <w:bCs/>
                <w:color w:val="000000"/>
                <w:sz w:val="20"/>
                <w:szCs w:val="20"/>
                <w:lang w:val="en-US" w:eastAsia="zh-CN" w:bidi="ar"/>
              </w:rPr>
              <w:t>245 905,33</w:t>
            </w:r>
          </w:p>
        </w:tc>
        <w:tc>
          <w:tcPr>
            <w:tcW w:w="1276" w:type="dxa"/>
            <w:tcBorders>
              <w:top w:val="nil"/>
              <w:left w:val="nil"/>
              <w:bottom w:val="single" w:color="auto" w:sz="4" w:space="0"/>
              <w:right w:val="single" w:color="auto" w:sz="4" w:space="0"/>
            </w:tcBorders>
            <w:shd w:val="clear" w:color="auto" w:fill="auto"/>
            <w:vAlign w:val="bottom"/>
          </w:tcPr>
          <w:p w14:paraId="08101256">
            <w:pPr>
              <w:jc w:val="center"/>
              <w:textAlignment w:val="bottom"/>
              <w:rPr>
                <w:b/>
                <w:bCs/>
                <w:color w:val="000000"/>
                <w:sz w:val="20"/>
                <w:szCs w:val="20"/>
              </w:rPr>
            </w:pPr>
            <w:r>
              <w:rPr>
                <w:rFonts w:eastAsia="SimSun"/>
                <w:b/>
                <w:bCs/>
                <w:color w:val="000000"/>
                <w:sz w:val="20"/>
                <w:szCs w:val="20"/>
                <w:lang w:val="en-US" w:eastAsia="zh-CN" w:bidi="ar"/>
              </w:rPr>
              <w:t>579 010,59</w:t>
            </w:r>
          </w:p>
        </w:tc>
        <w:tc>
          <w:tcPr>
            <w:tcW w:w="1702" w:type="dxa"/>
            <w:tcBorders>
              <w:top w:val="nil"/>
              <w:left w:val="nil"/>
              <w:bottom w:val="single" w:color="auto" w:sz="4" w:space="0"/>
              <w:right w:val="single" w:color="auto" w:sz="4" w:space="0"/>
            </w:tcBorders>
            <w:shd w:val="clear" w:color="auto" w:fill="auto"/>
            <w:vAlign w:val="bottom"/>
          </w:tcPr>
          <w:p w14:paraId="15408153">
            <w:pPr>
              <w:jc w:val="center"/>
              <w:textAlignment w:val="bottom"/>
              <w:rPr>
                <w:b/>
                <w:bCs/>
                <w:color w:val="000000"/>
                <w:sz w:val="20"/>
                <w:szCs w:val="20"/>
              </w:rPr>
            </w:pPr>
            <w:r>
              <w:rPr>
                <w:rFonts w:eastAsia="SimSun"/>
                <w:b/>
                <w:bCs/>
                <w:color w:val="000000"/>
                <w:sz w:val="20"/>
                <w:szCs w:val="20"/>
                <w:lang w:val="en-US" w:eastAsia="zh-CN" w:bidi="ar"/>
              </w:rPr>
              <w:t>258 049,60</w:t>
            </w:r>
          </w:p>
        </w:tc>
        <w:tc>
          <w:tcPr>
            <w:tcW w:w="1277" w:type="dxa"/>
            <w:tcBorders>
              <w:top w:val="nil"/>
              <w:left w:val="nil"/>
              <w:bottom w:val="single" w:color="auto" w:sz="4" w:space="0"/>
              <w:right w:val="single" w:color="auto" w:sz="4" w:space="0"/>
            </w:tcBorders>
            <w:shd w:val="clear" w:color="auto" w:fill="auto"/>
            <w:vAlign w:val="bottom"/>
          </w:tcPr>
          <w:p w14:paraId="27ED5934">
            <w:pPr>
              <w:jc w:val="center"/>
              <w:textAlignment w:val="bottom"/>
              <w:rPr>
                <w:b/>
                <w:bCs/>
                <w:color w:val="000000"/>
                <w:sz w:val="20"/>
                <w:szCs w:val="20"/>
              </w:rPr>
            </w:pPr>
            <w:r>
              <w:rPr>
                <w:rFonts w:eastAsia="SimSun"/>
                <w:b/>
                <w:bCs/>
                <w:color w:val="000000"/>
                <w:sz w:val="20"/>
                <w:szCs w:val="20"/>
                <w:lang w:val="en-US" w:eastAsia="zh-CN" w:bidi="ar"/>
              </w:rPr>
              <w:t>44,57</w:t>
            </w:r>
          </w:p>
        </w:tc>
        <w:tc>
          <w:tcPr>
            <w:tcW w:w="1336" w:type="dxa"/>
            <w:tcBorders>
              <w:top w:val="nil"/>
              <w:left w:val="nil"/>
              <w:bottom w:val="single" w:color="auto" w:sz="4" w:space="0"/>
              <w:right w:val="single" w:color="auto" w:sz="4" w:space="0"/>
            </w:tcBorders>
            <w:shd w:val="clear" w:color="auto" w:fill="auto"/>
            <w:vAlign w:val="bottom"/>
          </w:tcPr>
          <w:p w14:paraId="1817291A">
            <w:pPr>
              <w:jc w:val="center"/>
              <w:textAlignment w:val="bottom"/>
              <w:rPr>
                <w:b/>
                <w:bCs/>
                <w:color w:val="000000"/>
                <w:sz w:val="20"/>
                <w:szCs w:val="20"/>
              </w:rPr>
            </w:pPr>
            <w:r>
              <w:rPr>
                <w:rFonts w:eastAsia="SimSun"/>
                <w:b/>
                <w:bCs/>
                <w:color w:val="000000"/>
                <w:sz w:val="20"/>
                <w:szCs w:val="20"/>
                <w:lang w:val="en-US" w:eastAsia="zh-CN" w:bidi="ar"/>
              </w:rPr>
              <w:t>104,94</w:t>
            </w:r>
          </w:p>
        </w:tc>
      </w:tr>
      <w:tr w14:paraId="34DCAB00">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7E68BC28">
            <w:pPr>
              <w:textAlignment w:val="center"/>
              <w:rPr>
                <w:b/>
                <w:bCs/>
                <w:color w:val="000000"/>
                <w:sz w:val="20"/>
                <w:szCs w:val="20"/>
              </w:rPr>
            </w:pPr>
            <w:r>
              <w:rPr>
                <w:rFonts w:eastAsia="SimSun"/>
                <w:b/>
                <w:bCs/>
                <w:color w:val="000000"/>
                <w:sz w:val="20"/>
                <w:szCs w:val="20"/>
                <w:lang w:eastAsia="zh-CN" w:bidi="ar"/>
              </w:rPr>
              <w:t>Налоговые доходы, в том числе:</w:t>
            </w:r>
          </w:p>
        </w:tc>
        <w:tc>
          <w:tcPr>
            <w:tcW w:w="1220" w:type="dxa"/>
            <w:tcBorders>
              <w:top w:val="nil"/>
              <w:left w:val="nil"/>
              <w:bottom w:val="single" w:color="auto" w:sz="4" w:space="0"/>
              <w:right w:val="single" w:color="auto" w:sz="4" w:space="0"/>
            </w:tcBorders>
            <w:shd w:val="clear" w:color="000000" w:fill="FFFFFF"/>
            <w:vAlign w:val="bottom"/>
          </w:tcPr>
          <w:p w14:paraId="55D1641B">
            <w:pPr>
              <w:jc w:val="center"/>
              <w:textAlignment w:val="bottom"/>
              <w:rPr>
                <w:color w:val="000000"/>
                <w:sz w:val="20"/>
                <w:szCs w:val="20"/>
              </w:rPr>
            </w:pPr>
            <w:r>
              <w:rPr>
                <w:rFonts w:eastAsia="SimSun"/>
                <w:b/>
                <w:bCs/>
                <w:color w:val="000000"/>
                <w:sz w:val="20"/>
                <w:szCs w:val="20"/>
                <w:lang w:val="en-US" w:eastAsia="zh-CN" w:bidi="ar"/>
              </w:rPr>
              <w:t>200 204,09</w:t>
            </w:r>
          </w:p>
        </w:tc>
        <w:tc>
          <w:tcPr>
            <w:tcW w:w="1276" w:type="dxa"/>
            <w:tcBorders>
              <w:top w:val="nil"/>
              <w:left w:val="nil"/>
              <w:bottom w:val="single" w:color="auto" w:sz="4" w:space="0"/>
              <w:right w:val="single" w:color="auto" w:sz="4" w:space="0"/>
            </w:tcBorders>
            <w:shd w:val="clear" w:color="000000" w:fill="FFFFFF"/>
            <w:vAlign w:val="bottom"/>
          </w:tcPr>
          <w:p w14:paraId="6EFBE79D">
            <w:pPr>
              <w:jc w:val="center"/>
              <w:textAlignment w:val="bottom"/>
              <w:rPr>
                <w:color w:val="000000"/>
                <w:sz w:val="20"/>
                <w:szCs w:val="20"/>
              </w:rPr>
            </w:pPr>
            <w:r>
              <w:rPr>
                <w:rFonts w:eastAsia="SimSun"/>
                <w:b/>
                <w:bCs/>
                <w:color w:val="000000"/>
                <w:sz w:val="20"/>
                <w:szCs w:val="20"/>
                <w:lang w:val="en-US" w:eastAsia="zh-CN" w:bidi="ar"/>
              </w:rPr>
              <w:t>467 911,87</w:t>
            </w:r>
          </w:p>
        </w:tc>
        <w:tc>
          <w:tcPr>
            <w:tcW w:w="1702" w:type="dxa"/>
            <w:tcBorders>
              <w:top w:val="nil"/>
              <w:left w:val="nil"/>
              <w:bottom w:val="single" w:color="auto" w:sz="4" w:space="0"/>
              <w:right w:val="single" w:color="auto" w:sz="4" w:space="0"/>
            </w:tcBorders>
            <w:shd w:val="clear" w:color="000000" w:fill="FFFFFF"/>
            <w:vAlign w:val="bottom"/>
          </w:tcPr>
          <w:p w14:paraId="7AACAA57">
            <w:pPr>
              <w:jc w:val="center"/>
              <w:textAlignment w:val="bottom"/>
              <w:rPr>
                <w:color w:val="000000"/>
                <w:sz w:val="20"/>
                <w:szCs w:val="20"/>
              </w:rPr>
            </w:pPr>
            <w:r>
              <w:rPr>
                <w:rFonts w:eastAsia="SimSun"/>
                <w:b/>
                <w:bCs/>
                <w:color w:val="000000"/>
                <w:sz w:val="20"/>
                <w:szCs w:val="20"/>
                <w:lang w:val="en-US" w:eastAsia="zh-CN" w:bidi="ar"/>
              </w:rPr>
              <w:t>213 446,18</w:t>
            </w:r>
          </w:p>
        </w:tc>
        <w:tc>
          <w:tcPr>
            <w:tcW w:w="1277" w:type="dxa"/>
            <w:tcBorders>
              <w:top w:val="nil"/>
              <w:left w:val="nil"/>
              <w:bottom w:val="single" w:color="auto" w:sz="4" w:space="0"/>
              <w:right w:val="single" w:color="auto" w:sz="4" w:space="0"/>
            </w:tcBorders>
            <w:shd w:val="clear" w:color="auto" w:fill="auto"/>
            <w:vAlign w:val="bottom"/>
          </w:tcPr>
          <w:p w14:paraId="4B016402">
            <w:pPr>
              <w:jc w:val="center"/>
              <w:textAlignment w:val="bottom"/>
              <w:rPr>
                <w:b/>
                <w:color w:val="000000"/>
                <w:sz w:val="20"/>
                <w:szCs w:val="20"/>
              </w:rPr>
            </w:pPr>
            <w:r>
              <w:rPr>
                <w:rFonts w:eastAsia="SimSun"/>
                <w:b/>
                <w:color w:val="000000"/>
                <w:sz w:val="20"/>
                <w:szCs w:val="20"/>
                <w:lang w:val="en-US" w:eastAsia="zh-CN" w:bidi="ar"/>
              </w:rPr>
              <w:t>45,62</w:t>
            </w:r>
          </w:p>
        </w:tc>
        <w:tc>
          <w:tcPr>
            <w:tcW w:w="1336" w:type="dxa"/>
            <w:tcBorders>
              <w:top w:val="nil"/>
              <w:left w:val="nil"/>
              <w:bottom w:val="single" w:color="auto" w:sz="4" w:space="0"/>
              <w:right w:val="single" w:color="auto" w:sz="4" w:space="0"/>
            </w:tcBorders>
            <w:shd w:val="clear" w:color="auto" w:fill="auto"/>
            <w:vAlign w:val="bottom"/>
          </w:tcPr>
          <w:p w14:paraId="6DAE41A9">
            <w:pPr>
              <w:jc w:val="center"/>
              <w:textAlignment w:val="bottom"/>
              <w:rPr>
                <w:b/>
                <w:color w:val="000000"/>
                <w:sz w:val="20"/>
                <w:szCs w:val="20"/>
              </w:rPr>
            </w:pPr>
            <w:r>
              <w:rPr>
                <w:rFonts w:eastAsia="SimSun"/>
                <w:b/>
                <w:color w:val="000000"/>
                <w:sz w:val="20"/>
                <w:szCs w:val="20"/>
                <w:lang w:val="en-US" w:eastAsia="zh-CN" w:bidi="ar"/>
              </w:rPr>
              <w:t>106,61</w:t>
            </w:r>
          </w:p>
        </w:tc>
      </w:tr>
      <w:tr w14:paraId="096B7C09">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30FC601F">
            <w:pPr>
              <w:textAlignment w:val="center"/>
              <w:rPr>
                <w:color w:val="000000"/>
                <w:sz w:val="20"/>
                <w:szCs w:val="20"/>
              </w:rPr>
            </w:pPr>
            <w:r>
              <w:rPr>
                <w:rFonts w:eastAsia="SimSun"/>
                <w:color w:val="000000"/>
                <w:sz w:val="20"/>
                <w:szCs w:val="20"/>
                <w:lang w:val="en-US" w:eastAsia="zh-CN" w:bidi="ar"/>
              </w:rPr>
              <w:t>НДФЛ</w:t>
            </w:r>
          </w:p>
        </w:tc>
        <w:tc>
          <w:tcPr>
            <w:tcW w:w="1220" w:type="dxa"/>
            <w:tcBorders>
              <w:top w:val="nil"/>
              <w:left w:val="nil"/>
              <w:bottom w:val="single" w:color="auto" w:sz="4" w:space="0"/>
              <w:right w:val="single" w:color="auto" w:sz="4" w:space="0"/>
            </w:tcBorders>
            <w:shd w:val="clear" w:color="000000" w:fill="FFFFFF"/>
            <w:noWrap/>
            <w:vAlign w:val="bottom"/>
          </w:tcPr>
          <w:p w14:paraId="4D96B723">
            <w:pPr>
              <w:jc w:val="center"/>
              <w:textAlignment w:val="bottom"/>
              <w:rPr>
                <w:color w:val="000000"/>
                <w:sz w:val="20"/>
                <w:szCs w:val="20"/>
              </w:rPr>
            </w:pPr>
            <w:r>
              <w:rPr>
                <w:rFonts w:eastAsia="SimSun"/>
                <w:color w:val="000000"/>
                <w:sz w:val="20"/>
                <w:szCs w:val="20"/>
                <w:lang w:val="en-US" w:eastAsia="zh-CN" w:bidi="ar"/>
              </w:rPr>
              <w:t>142 092,30</w:t>
            </w:r>
          </w:p>
        </w:tc>
        <w:tc>
          <w:tcPr>
            <w:tcW w:w="1276" w:type="dxa"/>
            <w:tcBorders>
              <w:top w:val="nil"/>
              <w:left w:val="nil"/>
              <w:bottom w:val="single" w:color="auto" w:sz="4" w:space="0"/>
              <w:right w:val="single" w:color="auto" w:sz="4" w:space="0"/>
            </w:tcBorders>
            <w:shd w:val="clear" w:color="auto" w:fill="auto"/>
            <w:noWrap/>
            <w:vAlign w:val="bottom"/>
          </w:tcPr>
          <w:p w14:paraId="558019A4">
            <w:pPr>
              <w:jc w:val="center"/>
              <w:textAlignment w:val="bottom"/>
              <w:rPr>
                <w:color w:val="000000"/>
                <w:sz w:val="20"/>
                <w:szCs w:val="20"/>
              </w:rPr>
            </w:pPr>
            <w:r>
              <w:rPr>
                <w:rFonts w:eastAsia="SimSun"/>
                <w:color w:val="000000"/>
                <w:sz w:val="20"/>
                <w:szCs w:val="20"/>
                <w:lang w:val="en-US" w:eastAsia="zh-CN" w:bidi="ar"/>
              </w:rPr>
              <w:t xml:space="preserve">355 824,70 </w:t>
            </w:r>
          </w:p>
        </w:tc>
        <w:tc>
          <w:tcPr>
            <w:tcW w:w="1702" w:type="dxa"/>
            <w:tcBorders>
              <w:top w:val="nil"/>
              <w:left w:val="nil"/>
              <w:bottom w:val="single" w:color="auto" w:sz="4" w:space="0"/>
              <w:right w:val="single" w:color="auto" w:sz="4" w:space="0"/>
            </w:tcBorders>
            <w:shd w:val="clear" w:color="000000" w:fill="FFFFFF"/>
            <w:noWrap/>
            <w:vAlign w:val="bottom"/>
          </w:tcPr>
          <w:p w14:paraId="66F2BD07">
            <w:pPr>
              <w:jc w:val="center"/>
              <w:textAlignment w:val="bottom"/>
              <w:rPr>
                <w:color w:val="000000"/>
                <w:sz w:val="20"/>
                <w:szCs w:val="20"/>
              </w:rPr>
            </w:pPr>
            <w:r>
              <w:rPr>
                <w:rFonts w:eastAsia="SimSun"/>
                <w:color w:val="000000"/>
                <w:sz w:val="20"/>
                <w:szCs w:val="20"/>
                <w:lang w:val="en-US" w:eastAsia="zh-CN" w:bidi="ar"/>
              </w:rPr>
              <w:t>140 716,47</w:t>
            </w:r>
          </w:p>
        </w:tc>
        <w:tc>
          <w:tcPr>
            <w:tcW w:w="1277" w:type="dxa"/>
            <w:tcBorders>
              <w:top w:val="nil"/>
              <w:left w:val="nil"/>
              <w:bottom w:val="single" w:color="auto" w:sz="4" w:space="0"/>
              <w:right w:val="single" w:color="auto" w:sz="4" w:space="0"/>
            </w:tcBorders>
            <w:shd w:val="clear" w:color="auto" w:fill="auto"/>
            <w:vAlign w:val="bottom"/>
          </w:tcPr>
          <w:p w14:paraId="7C4B814F">
            <w:pPr>
              <w:jc w:val="center"/>
              <w:textAlignment w:val="bottom"/>
              <w:rPr>
                <w:color w:val="000000"/>
                <w:sz w:val="20"/>
                <w:szCs w:val="20"/>
              </w:rPr>
            </w:pPr>
            <w:r>
              <w:rPr>
                <w:rFonts w:eastAsia="SimSun"/>
                <w:color w:val="000000"/>
                <w:sz w:val="20"/>
                <w:szCs w:val="20"/>
                <w:lang w:val="en-US" w:eastAsia="zh-CN" w:bidi="ar"/>
              </w:rPr>
              <w:t>39,55</w:t>
            </w:r>
          </w:p>
        </w:tc>
        <w:tc>
          <w:tcPr>
            <w:tcW w:w="1336" w:type="dxa"/>
            <w:tcBorders>
              <w:top w:val="nil"/>
              <w:left w:val="nil"/>
              <w:bottom w:val="single" w:color="auto" w:sz="4" w:space="0"/>
              <w:right w:val="single" w:color="auto" w:sz="4" w:space="0"/>
            </w:tcBorders>
            <w:shd w:val="clear" w:color="auto" w:fill="auto"/>
            <w:vAlign w:val="bottom"/>
          </w:tcPr>
          <w:p w14:paraId="3A8B8D11">
            <w:pPr>
              <w:jc w:val="center"/>
              <w:textAlignment w:val="bottom"/>
              <w:rPr>
                <w:color w:val="000000"/>
                <w:sz w:val="20"/>
                <w:szCs w:val="20"/>
              </w:rPr>
            </w:pPr>
            <w:r>
              <w:rPr>
                <w:rFonts w:eastAsia="SimSun"/>
                <w:color w:val="000000"/>
                <w:sz w:val="20"/>
                <w:szCs w:val="20"/>
                <w:lang w:val="en-US" w:eastAsia="zh-CN" w:bidi="ar"/>
              </w:rPr>
              <w:t>99,03</w:t>
            </w:r>
          </w:p>
        </w:tc>
      </w:tr>
      <w:tr w14:paraId="48EBBC61">
        <w:tblPrEx>
          <w:tblCellMar>
            <w:top w:w="0" w:type="dxa"/>
            <w:left w:w="108" w:type="dxa"/>
            <w:bottom w:w="0" w:type="dxa"/>
            <w:right w:w="108" w:type="dxa"/>
          </w:tblCellMar>
        </w:tblPrEx>
        <w:trPr>
          <w:trHeight w:val="242"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3520333D">
            <w:pPr>
              <w:textAlignment w:val="center"/>
              <w:rPr>
                <w:color w:val="000000"/>
                <w:sz w:val="20"/>
                <w:szCs w:val="20"/>
              </w:rPr>
            </w:pPr>
            <w:r>
              <w:rPr>
                <w:rFonts w:eastAsia="SimSun"/>
                <w:color w:val="000000"/>
                <w:sz w:val="20"/>
                <w:szCs w:val="20"/>
                <w:lang w:val="en-US" w:eastAsia="zh-CN" w:bidi="ar"/>
              </w:rPr>
              <w:t>Акцизы</w:t>
            </w:r>
          </w:p>
        </w:tc>
        <w:tc>
          <w:tcPr>
            <w:tcW w:w="1220" w:type="dxa"/>
            <w:tcBorders>
              <w:top w:val="nil"/>
              <w:left w:val="nil"/>
              <w:bottom w:val="single" w:color="auto" w:sz="4" w:space="0"/>
              <w:right w:val="single" w:color="auto" w:sz="4" w:space="0"/>
            </w:tcBorders>
            <w:shd w:val="clear" w:color="000000" w:fill="FFFFFF"/>
            <w:noWrap/>
            <w:vAlign w:val="bottom"/>
          </w:tcPr>
          <w:p w14:paraId="55EF9850">
            <w:pPr>
              <w:jc w:val="center"/>
              <w:textAlignment w:val="bottom"/>
              <w:rPr>
                <w:color w:val="000000"/>
                <w:sz w:val="20"/>
                <w:szCs w:val="20"/>
              </w:rPr>
            </w:pPr>
            <w:r>
              <w:rPr>
                <w:rFonts w:eastAsia="SimSun"/>
                <w:color w:val="000000"/>
                <w:sz w:val="20"/>
                <w:szCs w:val="20"/>
                <w:lang w:val="en-US" w:eastAsia="zh-CN" w:bidi="ar"/>
              </w:rPr>
              <w:t>19 673,42</w:t>
            </w:r>
          </w:p>
        </w:tc>
        <w:tc>
          <w:tcPr>
            <w:tcW w:w="1276" w:type="dxa"/>
            <w:tcBorders>
              <w:top w:val="nil"/>
              <w:left w:val="nil"/>
              <w:bottom w:val="single" w:color="auto" w:sz="4" w:space="0"/>
              <w:right w:val="single" w:color="auto" w:sz="4" w:space="0"/>
            </w:tcBorders>
            <w:shd w:val="clear" w:color="auto" w:fill="auto"/>
            <w:noWrap/>
            <w:vAlign w:val="bottom"/>
          </w:tcPr>
          <w:p w14:paraId="18301144">
            <w:pPr>
              <w:jc w:val="center"/>
              <w:textAlignment w:val="bottom"/>
              <w:rPr>
                <w:color w:val="000000"/>
                <w:sz w:val="20"/>
                <w:szCs w:val="20"/>
              </w:rPr>
            </w:pPr>
            <w:r>
              <w:rPr>
                <w:rFonts w:eastAsia="SimSun"/>
                <w:color w:val="000000"/>
                <w:sz w:val="20"/>
                <w:szCs w:val="20"/>
                <w:lang w:val="en-US" w:eastAsia="zh-CN" w:bidi="ar"/>
              </w:rPr>
              <w:t xml:space="preserve">41 650,00 </w:t>
            </w:r>
          </w:p>
        </w:tc>
        <w:tc>
          <w:tcPr>
            <w:tcW w:w="1702" w:type="dxa"/>
            <w:tcBorders>
              <w:top w:val="nil"/>
              <w:left w:val="nil"/>
              <w:bottom w:val="single" w:color="auto" w:sz="4" w:space="0"/>
              <w:right w:val="single" w:color="auto" w:sz="4" w:space="0"/>
            </w:tcBorders>
            <w:shd w:val="clear" w:color="000000" w:fill="FFFFFF"/>
            <w:noWrap/>
            <w:vAlign w:val="bottom"/>
          </w:tcPr>
          <w:p w14:paraId="0F51CDB3">
            <w:pPr>
              <w:jc w:val="center"/>
              <w:textAlignment w:val="bottom"/>
              <w:rPr>
                <w:color w:val="000000"/>
                <w:sz w:val="20"/>
                <w:szCs w:val="20"/>
              </w:rPr>
            </w:pPr>
            <w:r>
              <w:rPr>
                <w:rFonts w:eastAsia="SimSun"/>
                <w:color w:val="000000"/>
                <w:sz w:val="20"/>
                <w:szCs w:val="20"/>
                <w:lang w:val="en-US" w:eastAsia="zh-CN" w:bidi="ar"/>
              </w:rPr>
              <w:t>20 039,07</w:t>
            </w:r>
          </w:p>
        </w:tc>
        <w:tc>
          <w:tcPr>
            <w:tcW w:w="1277" w:type="dxa"/>
            <w:tcBorders>
              <w:top w:val="nil"/>
              <w:left w:val="nil"/>
              <w:bottom w:val="single" w:color="auto" w:sz="4" w:space="0"/>
              <w:right w:val="single" w:color="auto" w:sz="4" w:space="0"/>
            </w:tcBorders>
            <w:shd w:val="clear" w:color="auto" w:fill="auto"/>
            <w:vAlign w:val="bottom"/>
          </w:tcPr>
          <w:p w14:paraId="65E43C5F">
            <w:pPr>
              <w:jc w:val="center"/>
              <w:textAlignment w:val="bottom"/>
              <w:rPr>
                <w:color w:val="000000"/>
                <w:sz w:val="20"/>
                <w:szCs w:val="20"/>
              </w:rPr>
            </w:pPr>
            <w:r>
              <w:rPr>
                <w:rFonts w:eastAsia="SimSun"/>
                <w:color w:val="000000"/>
                <w:sz w:val="20"/>
                <w:szCs w:val="20"/>
                <w:lang w:val="en-US" w:eastAsia="zh-CN" w:bidi="ar"/>
              </w:rPr>
              <w:t>48,11</w:t>
            </w:r>
          </w:p>
        </w:tc>
        <w:tc>
          <w:tcPr>
            <w:tcW w:w="1336" w:type="dxa"/>
            <w:tcBorders>
              <w:top w:val="nil"/>
              <w:left w:val="nil"/>
              <w:bottom w:val="single" w:color="auto" w:sz="4" w:space="0"/>
              <w:right w:val="single" w:color="auto" w:sz="4" w:space="0"/>
            </w:tcBorders>
            <w:shd w:val="clear" w:color="auto" w:fill="auto"/>
            <w:vAlign w:val="bottom"/>
          </w:tcPr>
          <w:p w14:paraId="75152948">
            <w:pPr>
              <w:jc w:val="center"/>
              <w:textAlignment w:val="bottom"/>
              <w:rPr>
                <w:color w:val="000000"/>
                <w:sz w:val="20"/>
                <w:szCs w:val="20"/>
              </w:rPr>
            </w:pPr>
            <w:r>
              <w:rPr>
                <w:rFonts w:eastAsia="SimSun"/>
                <w:color w:val="000000"/>
                <w:sz w:val="20"/>
                <w:szCs w:val="20"/>
                <w:lang w:val="en-US" w:eastAsia="zh-CN" w:bidi="ar"/>
              </w:rPr>
              <w:t>101,86</w:t>
            </w:r>
          </w:p>
        </w:tc>
      </w:tr>
      <w:tr w14:paraId="4EC2472F">
        <w:tblPrEx>
          <w:tblCellMar>
            <w:top w:w="0" w:type="dxa"/>
            <w:left w:w="108" w:type="dxa"/>
            <w:bottom w:w="0" w:type="dxa"/>
            <w:right w:w="108" w:type="dxa"/>
          </w:tblCellMar>
        </w:tblPrEx>
        <w:trPr>
          <w:trHeight w:val="7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77C9E0C0">
            <w:pPr>
              <w:jc w:val="both"/>
              <w:textAlignment w:val="center"/>
              <w:rPr>
                <w:color w:val="000000"/>
                <w:sz w:val="20"/>
                <w:szCs w:val="20"/>
              </w:rPr>
            </w:pPr>
            <w:r>
              <w:rPr>
                <w:rFonts w:eastAsia="SimSun"/>
                <w:color w:val="000000"/>
                <w:sz w:val="20"/>
                <w:szCs w:val="20"/>
                <w:lang w:val="en-US" w:eastAsia="zh-CN" w:bidi="ar"/>
              </w:rPr>
              <w:t>Налоги на совокупный доход</w:t>
            </w:r>
          </w:p>
        </w:tc>
        <w:tc>
          <w:tcPr>
            <w:tcW w:w="1220" w:type="dxa"/>
            <w:tcBorders>
              <w:top w:val="nil"/>
              <w:left w:val="nil"/>
              <w:bottom w:val="single" w:color="auto" w:sz="4" w:space="0"/>
              <w:right w:val="single" w:color="auto" w:sz="4" w:space="0"/>
            </w:tcBorders>
            <w:shd w:val="clear" w:color="000000" w:fill="FFFFFF"/>
            <w:noWrap/>
            <w:vAlign w:val="bottom"/>
          </w:tcPr>
          <w:p w14:paraId="36B2634A">
            <w:pPr>
              <w:jc w:val="center"/>
              <w:textAlignment w:val="bottom"/>
              <w:rPr>
                <w:color w:val="000000"/>
                <w:sz w:val="20"/>
                <w:szCs w:val="20"/>
              </w:rPr>
            </w:pPr>
            <w:r>
              <w:rPr>
                <w:rFonts w:eastAsia="SimSun"/>
                <w:color w:val="000000"/>
                <w:sz w:val="20"/>
                <w:szCs w:val="20"/>
                <w:lang w:val="en-US" w:eastAsia="zh-CN" w:bidi="ar"/>
              </w:rPr>
              <w:t>33 985,68</w:t>
            </w:r>
          </w:p>
        </w:tc>
        <w:tc>
          <w:tcPr>
            <w:tcW w:w="1276" w:type="dxa"/>
            <w:tcBorders>
              <w:top w:val="nil"/>
              <w:left w:val="nil"/>
              <w:bottom w:val="single" w:color="auto" w:sz="4" w:space="0"/>
              <w:right w:val="single" w:color="auto" w:sz="4" w:space="0"/>
            </w:tcBorders>
            <w:shd w:val="clear" w:color="auto" w:fill="auto"/>
            <w:noWrap/>
            <w:vAlign w:val="bottom"/>
          </w:tcPr>
          <w:p w14:paraId="12641292">
            <w:pPr>
              <w:jc w:val="center"/>
              <w:textAlignment w:val="bottom"/>
              <w:rPr>
                <w:color w:val="000000"/>
                <w:sz w:val="20"/>
                <w:szCs w:val="20"/>
              </w:rPr>
            </w:pPr>
            <w:r>
              <w:rPr>
                <w:rFonts w:eastAsia="SimSun"/>
                <w:color w:val="000000"/>
                <w:sz w:val="20"/>
                <w:szCs w:val="20"/>
                <w:lang w:val="en-US" w:eastAsia="zh-CN" w:bidi="ar"/>
              </w:rPr>
              <w:t xml:space="preserve">58 986,18 </w:t>
            </w:r>
          </w:p>
        </w:tc>
        <w:tc>
          <w:tcPr>
            <w:tcW w:w="1702" w:type="dxa"/>
            <w:tcBorders>
              <w:top w:val="nil"/>
              <w:left w:val="nil"/>
              <w:bottom w:val="single" w:color="auto" w:sz="4" w:space="0"/>
              <w:right w:val="single" w:color="auto" w:sz="4" w:space="0"/>
            </w:tcBorders>
            <w:shd w:val="clear" w:color="000000" w:fill="FFFFFF"/>
            <w:noWrap/>
            <w:vAlign w:val="bottom"/>
          </w:tcPr>
          <w:p w14:paraId="4A053E9E">
            <w:pPr>
              <w:jc w:val="center"/>
              <w:textAlignment w:val="bottom"/>
              <w:rPr>
                <w:color w:val="000000"/>
                <w:sz w:val="20"/>
                <w:szCs w:val="20"/>
              </w:rPr>
            </w:pPr>
            <w:r>
              <w:rPr>
                <w:rFonts w:eastAsia="SimSun"/>
                <w:color w:val="000000"/>
                <w:sz w:val="20"/>
                <w:szCs w:val="20"/>
                <w:lang w:val="en-US" w:eastAsia="zh-CN" w:bidi="ar"/>
              </w:rPr>
              <w:t>48 051,60</w:t>
            </w:r>
          </w:p>
        </w:tc>
        <w:tc>
          <w:tcPr>
            <w:tcW w:w="1277" w:type="dxa"/>
            <w:tcBorders>
              <w:top w:val="nil"/>
              <w:left w:val="nil"/>
              <w:bottom w:val="single" w:color="auto" w:sz="4" w:space="0"/>
              <w:right w:val="single" w:color="auto" w:sz="4" w:space="0"/>
            </w:tcBorders>
            <w:shd w:val="clear" w:color="auto" w:fill="auto"/>
            <w:vAlign w:val="bottom"/>
          </w:tcPr>
          <w:p w14:paraId="3C2D64C2">
            <w:pPr>
              <w:jc w:val="center"/>
              <w:textAlignment w:val="bottom"/>
              <w:rPr>
                <w:color w:val="000000"/>
                <w:sz w:val="20"/>
                <w:szCs w:val="20"/>
              </w:rPr>
            </w:pPr>
            <w:r>
              <w:rPr>
                <w:rFonts w:eastAsia="SimSun"/>
                <w:color w:val="000000"/>
                <w:sz w:val="20"/>
                <w:szCs w:val="20"/>
                <w:lang w:val="en-US" w:eastAsia="zh-CN" w:bidi="ar"/>
              </w:rPr>
              <w:t>81,46</w:t>
            </w:r>
          </w:p>
        </w:tc>
        <w:tc>
          <w:tcPr>
            <w:tcW w:w="1336" w:type="dxa"/>
            <w:tcBorders>
              <w:top w:val="nil"/>
              <w:left w:val="nil"/>
              <w:bottom w:val="single" w:color="auto" w:sz="4" w:space="0"/>
              <w:right w:val="single" w:color="auto" w:sz="4" w:space="0"/>
            </w:tcBorders>
            <w:shd w:val="clear" w:color="auto" w:fill="auto"/>
            <w:vAlign w:val="bottom"/>
          </w:tcPr>
          <w:p w14:paraId="7DF882CF">
            <w:pPr>
              <w:jc w:val="center"/>
              <w:textAlignment w:val="bottom"/>
              <w:rPr>
                <w:color w:val="000000"/>
                <w:sz w:val="20"/>
                <w:szCs w:val="20"/>
              </w:rPr>
            </w:pPr>
            <w:r>
              <w:rPr>
                <w:rFonts w:eastAsia="SimSun"/>
                <w:color w:val="000000"/>
                <w:sz w:val="20"/>
                <w:szCs w:val="20"/>
                <w:lang w:val="en-US" w:eastAsia="zh-CN" w:bidi="ar"/>
              </w:rPr>
              <w:t>141,39</w:t>
            </w:r>
          </w:p>
        </w:tc>
      </w:tr>
      <w:tr w14:paraId="12E17A3E">
        <w:tblPrEx>
          <w:tblCellMar>
            <w:top w:w="0" w:type="dxa"/>
            <w:left w:w="108" w:type="dxa"/>
            <w:bottom w:w="0" w:type="dxa"/>
            <w:right w:w="108" w:type="dxa"/>
          </w:tblCellMar>
        </w:tblPrEx>
        <w:trPr>
          <w:trHeight w:val="7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18D5AA5A">
            <w:pPr>
              <w:jc w:val="both"/>
              <w:textAlignment w:val="center"/>
              <w:rPr>
                <w:color w:val="000000"/>
                <w:sz w:val="20"/>
                <w:szCs w:val="20"/>
              </w:rPr>
            </w:pPr>
            <w:r>
              <w:rPr>
                <w:rFonts w:eastAsia="SimSun"/>
                <w:color w:val="000000"/>
                <w:sz w:val="20"/>
                <w:szCs w:val="20"/>
                <w:lang w:val="en-US" w:eastAsia="zh-CN" w:bidi="ar"/>
              </w:rPr>
              <w:t>Госпошлина</w:t>
            </w:r>
          </w:p>
        </w:tc>
        <w:tc>
          <w:tcPr>
            <w:tcW w:w="1220" w:type="dxa"/>
            <w:tcBorders>
              <w:top w:val="nil"/>
              <w:left w:val="nil"/>
              <w:bottom w:val="single" w:color="auto" w:sz="4" w:space="0"/>
              <w:right w:val="single" w:color="auto" w:sz="4" w:space="0"/>
            </w:tcBorders>
            <w:shd w:val="clear" w:color="000000" w:fill="FFFFFF"/>
            <w:noWrap/>
            <w:vAlign w:val="bottom"/>
          </w:tcPr>
          <w:p w14:paraId="3BA71068">
            <w:pPr>
              <w:jc w:val="center"/>
              <w:textAlignment w:val="bottom"/>
              <w:rPr>
                <w:color w:val="000000"/>
                <w:sz w:val="20"/>
                <w:szCs w:val="20"/>
              </w:rPr>
            </w:pPr>
            <w:r>
              <w:rPr>
                <w:rFonts w:eastAsia="SimSun"/>
                <w:color w:val="000000"/>
                <w:sz w:val="20"/>
                <w:szCs w:val="20"/>
                <w:lang w:val="en-US" w:eastAsia="zh-CN" w:bidi="ar"/>
              </w:rPr>
              <w:t>4 438,19</w:t>
            </w:r>
          </w:p>
        </w:tc>
        <w:tc>
          <w:tcPr>
            <w:tcW w:w="1276" w:type="dxa"/>
            <w:tcBorders>
              <w:top w:val="nil"/>
              <w:left w:val="nil"/>
              <w:bottom w:val="single" w:color="auto" w:sz="4" w:space="0"/>
              <w:right w:val="single" w:color="auto" w:sz="4" w:space="0"/>
            </w:tcBorders>
            <w:shd w:val="clear" w:color="auto" w:fill="auto"/>
            <w:noWrap/>
            <w:vAlign w:val="bottom"/>
          </w:tcPr>
          <w:p w14:paraId="0EF3C524">
            <w:pPr>
              <w:jc w:val="center"/>
              <w:textAlignment w:val="bottom"/>
              <w:rPr>
                <w:color w:val="000000"/>
                <w:sz w:val="20"/>
                <w:szCs w:val="20"/>
              </w:rPr>
            </w:pPr>
            <w:r>
              <w:rPr>
                <w:rFonts w:eastAsia="SimSun"/>
                <w:color w:val="000000"/>
                <w:sz w:val="20"/>
                <w:szCs w:val="20"/>
                <w:lang w:val="en-US" w:eastAsia="zh-CN" w:bidi="ar"/>
              </w:rPr>
              <w:t xml:space="preserve">11 451,00 </w:t>
            </w:r>
          </w:p>
        </w:tc>
        <w:tc>
          <w:tcPr>
            <w:tcW w:w="1702" w:type="dxa"/>
            <w:tcBorders>
              <w:top w:val="nil"/>
              <w:left w:val="nil"/>
              <w:bottom w:val="single" w:color="auto" w:sz="4" w:space="0"/>
              <w:right w:val="single" w:color="auto" w:sz="4" w:space="0"/>
            </w:tcBorders>
            <w:shd w:val="clear" w:color="000000" w:fill="FFFFFF"/>
            <w:noWrap/>
            <w:vAlign w:val="bottom"/>
          </w:tcPr>
          <w:p w14:paraId="7E183F77">
            <w:pPr>
              <w:jc w:val="center"/>
              <w:textAlignment w:val="bottom"/>
              <w:rPr>
                <w:color w:val="000000"/>
                <w:sz w:val="20"/>
                <w:szCs w:val="20"/>
              </w:rPr>
            </w:pPr>
            <w:r>
              <w:rPr>
                <w:rFonts w:eastAsia="SimSun"/>
                <w:color w:val="000000"/>
                <w:sz w:val="20"/>
                <w:szCs w:val="20"/>
                <w:lang w:val="en-US" w:eastAsia="zh-CN" w:bidi="ar"/>
              </w:rPr>
              <w:t>4 647,91</w:t>
            </w:r>
          </w:p>
        </w:tc>
        <w:tc>
          <w:tcPr>
            <w:tcW w:w="1277" w:type="dxa"/>
            <w:tcBorders>
              <w:top w:val="nil"/>
              <w:left w:val="nil"/>
              <w:bottom w:val="single" w:color="auto" w:sz="4" w:space="0"/>
              <w:right w:val="single" w:color="auto" w:sz="4" w:space="0"/>
            </w:tcBorders>
            <w:shd w:val="clear" w:color="auto" w:fill="auto"/>
            <w:vAlign w:val="bottom"/>
          </w:tcPr>
          <w:p w14:paraId="34B98711">
            <w:pPr>
              <w:jc w:val="center"/>
              <w:textAlignment w:val="bottom"/>
              <w:rPr>
                <w:color w:val="000000"/>
                <w:sz w:val="20"/>
                <w:szCs w:val="20"/>
              </w:rPr>
            </w:pPr>
            <w:r>
              <w:rPr>
                <w:rFonts w:eastAsia="SimSun"/>
                <w:color w:val="000000"/>
                <w:sz w:val="20"/>
                <w:szCs w:val="20"/>
                <w:lang w:val="en-US" w:eastAsia="zh-CN" w:bidi="ar"/>
              </w:rPr>
              <w:t>40,59</w:t>
            </w:r>
          </w:p>
        </w:tc>
        <w:tc>
          <w:tcPr>
            <w:tcW w:w="1336" w:type="dxa"/>
            <w:tcBorders>
              <w:top w:val="nil"/>
              <w:left w:val="nil"/>
              <w:bottom w:val="single" w:color="auto" w:sz="4" w:space="0"/>
              <w:right w:val="single" w:color="auto" w:sz="4" w:space="0"/>
            </w:tcBorders>
            <w:shd w:val="clear" w:color="auto" w:fill="auto"/>
            <w:vAlign w:val="bottom"/>
          </w:tcPr>
          <w:p w14:paraId="11D8A850">
            <w:pPr>
              <w:jc w:val="center"/>
              <w:textAlignment w:val="bottom"/>
              <w:rPr>
                <w:color w:val="000000"/>
                <w:sz w:val="20"/>
                <w:szCs w:val="20"/>
              </w:rPr>
            </w:pPr>
            <w:r>
              <w:rPr>
                <w:rFonts w:eastAsia="SimSun"/>
                <w:color w:val="000000"/>
                <w:sz w:val="20"/>
                <w:szCs w:val="20"/>
                <w:lang w:val="en-US" w:eastAsia="zh-CN" w:bidi="ar"/>
              </w:rPr>
              <w:t>104,73</w:t>
            </w:r>
          </w:p>
        </w:tc>
      </w:tr>
      <w:tr w14:paraId="0B414A7A">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123B920C">
            <w:pPr>
              <w:jc w:val="both"/>
              <w:textAlignment w:val="center"/>
              <w:rPr>
                <w:color w:val="000000"/>
                <w:sz w:val="20"/>
                <w:szCs w:val="20"/>
              </w:rPr>
            </w:pPr>
            <w:r>
              <w:rPr>
                <w:rFonts w:eastAsia="SimSun"/>
                <w:color w:val="000000"/>
                <w:sz w:val="20"/>
                <w:szCs w:val="20"/>
                <w:lang w:eastAsia="zh-CN" w:bidi="ar"/>
              </w:rPr>
              <w:t>Задолженность и перерасчеты по отмененным налогам</w:t>
            </w:r>
          </w:p>
        </w:tc>
        <w:tc>
          <w:tcPr>
            <w:tcW w:w="1220" w:type="dxa"/>
            <w:tcBorders>
              <w:top w:val="nil"/>
              <w:left w:val="nil"/>
              <w:bottom w:val="single" w:color="auto" w:sz="4" w:space="0"/>
              <w:right w:val="single" w:color="auto" w:sz="4" w:space="0"/>
            </w:tcBorders>
            <w:shd w:val="clear" w:color="000000" w:fill="FFFFFF"/>
            <w:noWrap/>
            <w:vAlign w:val="bottom"/>
          </w:tcPr>
          <w:p w14:paraId="34C63EF5">
            <w:pPr>
              <w:jc w:val="center"/>
              <w:textAlignment w:val="bottom"/>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14,50</w:t>
            </w:r>
          </w:p>
        </w:tc>
        <w:tc>
          <w:tcPr>
            <w:tcW w:w="1276" w:type="dxa"/>
            <w:tcBorders>
              <w:top w:val="nil"/>
              <w:left w:val="nil"/>
              <w:bottom w:val="single" w:color="auto" w:sz="4" w:space="0"/>
              <w:right w:val="single" w:color="auto" w:sz="4" w:space="0"/>
            </w:tcBorders>
            <w:shd w:val="clear" w:color="auto" w:fill="auto"/>
            <w:noWrap/>
            <w:vAlign w:val="bottom"/>
          </w:tcPr>
          <w:p w14:paraId="266625DD">
            <w:pPr>
              <w:jc w:val="center"/>
              <w:textAlignment w:val="bottom"/>
              <w:rPr>
                <w:color w:val="000000"/>
                <w:sz w:val="20"/>
                <w:szCs w:val="20"/>
              </w:rPr>
            </w:pPr>
            <w:r>
              <w:rPr>
                <w:rFonts w:eastAsia="SimSun"/>
                <w:color w:val="000000"/>
                <w:sz w:val="20"/>
                <w:szCs w:val="20"/>
                <w:lang w:val="en-US" w:eastAsia="zh-CN" w:bidi="ar"/>
              </w:rPr>
              <w:t xml:space="preserve">- 8,87 </w:t>
            </w:r>
          </w:p>
        </w:tc>
        <w:tc>
          <w:tcPr>
            <w:tcW w:w="1702" w:type="dxa"/>
            <w:tcBorders>
              <w:top w:val="nil"/>
              <w:left w:val="nil"/>
              <w:bottom w:val="single" w:color="auto" w:sz="4" w:space="0"/>
              <w:right w:val="single" w:color="auto" w:sz="4" w:space="0"/>
            </w:tcBorders>
            <w:shd w:val="clear" w:color="000000" w:fill="FFFFFF"/>
            <w:noWrap/>
            <w:vAlign w:val="bottom"/>
          </w:tcPr>
          <w:p w14:paraId="38ACB161">
            <w:pPr>
              <w:jc w:val="center"/>
              <w:textAlignment w:val="bottom"/>
              <w:rPr>
                <w:color w:val="000000"/>
                <w:sz w:val="20"/>
                <w:szCs w:val="20"/>
              </w:rPr>
            </w:pPr>
            <w:r>
              <w:rPr>
                <w:rFonts w:eastAsia="SimSun"/>
                <w:color w:val="000000"/>
                <w:sz w:val="20"/>
                <w:szCs w:val="20"/>
                <w:lang w:val="en-US" w:eastAsia="zh-CN" w:bidi="ar"/>
              </w:rPr>
              <w:t>- 8,87</w:t>
            </w:r>
          </w:p>
        </w:tc>
        <w:tc>
          <w:tcPr>
            <w:tcW w:w="1277" w:type="dxa"/>
            <w:tcBorders>
              <w:top w:val="nil"/>
              <w:left w:val="nil"/>
              <w:bottom w:val="single" w:color="auto" w:sz="4" w:space="0"/>
              <w:right w:val="single" w:color="auto" w:sz="4" w:space="0"/>
            </w:tcBorders>
            <w:shd w:val="clear" w:color="auto" w:fill="auto"/>
            <w:vAlign w:val="bottom"/>
          </w:tcPr>
          <w:p w14:paraId="2DB5C6B0">
            <w:pPr>
              <w:jc w:val="center"/>
              <w:textAlignment w:val="bottom"/>
              <w:rPr>
                <w:color w:val="000000"/>
                <w:sz w:val="20"/>
                <w:szCs w:val="20"/>
              </w:rPr>
            </w:pPr>
            <w:r>
              <w:rPr>
                <w:rFonts w:eastAsia="SimSun"/>
                <w:color w:val="000000"/>
                <w:sz w:val="20"/>
                <w:szCs w:val="20"/>
                <w:lang w:val="en-US" w:eastAsia="zh-CN" w:bidi="ar"/>
              </w:rPr>
              <w:t>100,00</w:t>
            </w:r>
          </w:p>
        </w:tc>
        <w:tc>
          <w:tcPr>
            <w:tcW w:w="1336" w:type="dxa"/>
            <w:tcBorders>
              <w:top w:val="nil"/>
              <w:left w:val="nil"/>
              <w:bottom w:val="single" w:color="auto" w:sz="4" w:space="0"/>
              <w:right w:val="single" w:color="auto" w:sz="4" w:space="0"/>
            </w:tcBorders>
            <w:shd w:val="clear" w:color="auto" w:fill="auto"/>
            <w:vAlign w:val="bottom"/>
          </w:tcPr>
          <w:p w14:paraId="584958BA">
            <w:pPr>
              <w:jc w:val="center"/>
              <w:textAlignment w:val="bottom"/>
              <w:rPr>
                <w:color w:val="000000"/>
                <w:sz w:val="20"/>
                <w:szCs w:val="20"/>
              </w:rPr>
            </w:pPr>
            <w:r>
              <w:rPr>
                <w:rFonts w:eastAsia="SimSun"/>
                <w:color w:val="000000"/>
                <w:sz w:val="20"/>
                <w:szCs w:val="20"/>
                <w:lang w:val="en-US" w:eastAsia="zh-CN" w:bidi="ar"/>
              </w:rPr>
              <w:t>-61,17</w:t>
            </w:r>
          </w:p>
        </w:tc>
      </w:tr>
      <w:tr w14:paraId="554AC09D">
        <w:tblPrEx>
          <w:tblCellMar>
            <w:top w:w="0" w:type="dxa"/>
            <w:left w:w="108" w:type="dxa"/>
            <w:bottom w:w="0" w:type="dxa"/>
            <w:right w:w="108" w:type="dxa"/>
          </w:tblCellMar>
        </w:tblPrEx>
        <w:trPr>
          <w:trHeight w:val="313"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64A4E483">
            <w:pPr>
              <w:textAlignment w:val="center"/>
              <w:rPr>
                <w:b/>
                <w:bCs/>
                <w:color w:val="000000"/>
                <w:sz w:val="20"/>
                <w:szCs w:val="20"/>
              </w:rPr>
            </w:pPr>
            <w:r>
              <w:rPr>
                <w:rFonts w:eastAsia="SimSun"/>
                <w:b/>
                <w:bCs/>
                <w:color w:val="000000"/>
                <w:sz w:val="20"/>
                <w:szCs w:val="20"/>
                <w:lang w:eastAsia="zh-CN" w:bidi="ar"/>
              </w:rPr>
              <w:t>Неналоговые доходы, в том числе:</w:t>
            </w:r>
          </w:p>
        </w:tc>
        <w:tc>
          <w:tcPr>
            <w:tcW w:w="1220" w:type="dxa"/>
            <w:tcBorders>
              <w:top w:val="nil"/>
              <w:left w:val="nil"/>
              <w:bottom w:val="single" w:color="auto" w:sz="4" w:space="0"/>
              <w:right w:val="single" w:color="auto" w:sz="4" w:space="0"/>
            </w:tcBorders>
            <w:shd w:val="clear" w:color="000000" w:fill="FFFFFF"/>
            <w:vAlign w:val="bottom"/>
          </w:tcPr>
          <w:p w14:paraId="3E5B583D">
            <w:pPr>
              <w:jc w:val="center"/>
              <w:textAlignment w:val="bottom"/>
              <w:rPr>
                <w:color w:val="000000"/>
                <w:sz w:val="20"/>
                <w:szCs w:val="20"/>
              </w:rPr>
            </w:pPr>
            <w:r>
              <w:rPr>
                <w:rFonts w:eastAsia="SimSun"/>
                <w:b/>
                <w:bCs/>
                <w:color w:val="000000"/>
                <w:sz w:val="20"/>
                <w:szCs w:val="20"/>
                <w:lang w:val="en-US" w:eastAsia="zh-CN" w:bidi="ar"/>
              </w:rPr>
              <w:t>45 701,24</w:t>
            </w:r>
          </w:p>
        </w:tc>
        <w:tc>
          <w:tcPr>
            <w:tcW w:w="1276" w:type="dxa"/>
            <w:tcBorders>
              <w:top w:val="nil"/>
              <w:left w:val="nil"/>
              <w:bottom w:val="single" w:color="auto" w:sz="4" w:space="0"/>
              <w:right w:val="single" w:color="auto" w:sz="4" w:space="0"/>
            </w:tcBorders>
            <w:shd w:val="clear" w:color="000000" w:fill="FFFFFF"/>
            <w:vAlign w:val="bottom"/>
          </w:tcPr>
          <w:p w14:paraId="71C77867">
            <w:pPr>
              <w:jc w:val="center"/>
              <w:textAlignment w:val="bottom"/>
              <w:rPr>
                <w:color w:val="000000"/>
                <w:sz w:val="20"/>
                <w:szCs w:val="20"/>
              </w:rPr>
            </w:pPr>
            <w:r>
              <w:rPr>
                <w:rFonts w:eastAsia="SimSun"/>
                <w:b/>
                <w:bCs/>
                <w:color w:val="000000"/>
                <w:sz w:val="20"/>
                <w:szCs w:val="20"/>
                <w:lang w:val="en-US" w:eastAsia="zh-CN" w:bidi="ar"/>
              </w:rPr>
              <w:t>111 098,72</w:t>
            </w:r>
          </w:p>
        </w:tc>
        <w:tc>
          <w:tcPr>
            <w:tcW w:w="1702" w:type="dxa"/>
            <w:tcBorders>
              <w:top w:val="nil"/>
              <w:left w:val="nil"/>
              <w:bottom w:val="single" w:color="auto" w:sz="4" w:space="0"/>
              <w:right w:val="single" w:color="auto" w:sz="4" w:space="0"/>
            </w:tcBorders>
            <w:shd w:val="clear" w:color="000000" w:fill="FFFFFF"/>
            <w:vAlign w:val="bottom"/>
          </w:tcPr>
          <w:p w14:paraId="7A75C887">
            <w:pPr>
              <w:jc w:val="center"/>
              <w:textAlignment w:val="bottom"/>
              <w:rPr>
                <w:color w:val="000000"/>
                <w:sz w:val="20"/>
                <w:szCs w:val="20"/>
              </w:rPr>
            </w:pPr>
            <w:r>
              <w:rPr>
                <w:rFonts w:eastAsia="SimSun"/>
                <w:b/>
                <w:bCs/>
                <w:color w:val="000000"/>
                <w:sz w:val="20"/>
                <w:szCs w:val="20"/>
                <w:lang w:val="en-US" w:eastAsia="zh-CN" w:bidi="ar"/>
              </w:rPr>
              <w:t>44 603,41</w:t>
            </w:r>
          </w:p>
        </w:tc>
        <w:tc>
          <w:tcPr>
            <w:tcW w:w="1277" w:type="dxa"/>
            <w:tcBorders>
              <w:top w:val="nil"/>
              <w:left w:val="nil"/>
              <w:bottom w:val="single" w:color="auto" w:sz="4" w:space="0"/>
              <w:right w:val="single" w:color="auto" w:sz="4" w:space="0"/>
            </w:tcBorders>
            <w:shd w:val="clear" w:color="auto" w:fill="auto"/>
            <w:vAlign w:val="bottom"/>
          </w:tcPr>
          <w:p w14:paraId="197DC634">
            <w:pPr>
              <w:jc w:val="center"/>
              <w:textAlignment w:val="bottom"/>
              <w:rPr>
                <w:b/>
                <w:color w:val="000000"/>
                <w:sz w:val="20"/>
                <w:szCs w:val="20"/>
              </w:rPr>
            </w:pPr>
            <w:r>
              <w:rPr>
                <w:rFonts w:eastAsia="SimSun"/>
                <w:b/>
                <w:color w:val="000000"/>
                <w:sz w:val="20"/>
                <w:szCs w:val="20"/>
                <w:lang w:val="en-US" w:eastAsia="zh-CN" w:bidi="ar"/>
              </w:rPr>
              <w:t>40,15</w:t>
            </w:r>
          </w:p>
        </w:tc>
        <w:tc>
          <w:tcPr>
            <w:tcW w:w="1336" w:type="dxa"/>
            <w:tcBorders>
              <w:top w:val="nil"/>
              <w:left w:val="nil"/>
              <w:bottom w:val="single" w:color="auto" w:sz="4" w:space="0"/>
              <w:right w:val="single" w:color="auto" w:sz="4" w:space="0"/>
            </w:tcBorders>
            <w:shd w:val="clear" w:color="auto" w:fill="auto"/>
            <w:vAlign w:val="bottom"/>
          </w:tcPr>
          <w:p w14:paraId="4FA3F82E">
            <w:pPr>
              <w:jc w:val="center"/>
              <w:textAlignment w:val="bottom"/>
              <w:rPr>
                <w:color w:val="000000"/>
                <w:sz w:val="20"/>
                <w:szCs w:val="20"/>
              </w:rPr>
            </w:pPr>
            <w:r>
              <w:rPr>
                <w:rFonts w:eastAsia="SimSun"/>
                <w:b/>
                <w:bCs/>
                <w:color w:val="000000"/>
                <w:sz w:val="20"/>
                <w:szCs w:val="20"/>
                <w:lang w:val="en-US" w:eastAsia="zh-CN" w:bidi="ar"/>
              </w:rPr>
              <w:t>97,60</w:t>
            </w:r>
          </w:p>
        </w:tc>
      </w:tr>
      <w:tr w14:paraId="3752FA47">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5EE608EA">
            <w:pPr>
              <w:textAlignment w:val="center"/>
              <w:rPr>
                <w:color w:val="000000"/>
                <w:sz w:val="20"/>
                <w:szCs w:val="20"/>
              </w:rPr>
            </w:pPr>
            <w:r>
              <w:rPr>
                <w:rFonts w:eastAsia="SimSun"/>
                <w:color w:val="000000"/>
                <w:sz w:val="20"/>
                <w:szCs w:val="20"/>
                <w:lang w:val="en-US" w:eastAsia="zh-CN" w:bidi="ar"/>
              </w:rPr>
              <w:t>Доходы от использования имущества</w:t>
            </w:r>
          </w:p>
        </w:tc>
        <w:tc>
          <w:tcPr>
            <w:tcW w:w="1220" w:type="dxa"/>
            <w:tcBorders>
              <w:top w:val="nil"/>
              <w:left w:val="nil"/>
              <w:bottom w:val="single" w:color="auto" w:sz="4" w:space="0"/>
              <w:right w:val="single" w:color="auto" w:sz="4" w:space="0"/>
            </w:tcBorders>
            <w:shd w:val="clear" w:color="000000" w:fill="FFFFFF"/>
            <w:vAlign w:val="bottom"/>
          </w:tcPr>
          <w:p w14:paraId="4B4BA04F">
            <w:pPr>
              <w:jc w:val="center"/>
              <w:textAlignment w:val="bottom"/>
              <w:rPr>
                <w:color w:val="000000"/>
                <w:sz w:val="20"/>
                <w:szCs w:val="20"/>
              </w:rPr>
            </w:pPr>
            <w:r>
              <w:rPr>
                <w:rFonts w:eastAsia="SimSun"/>
                <w:color w:val="000000"/>
                <w:sz w:val="20"/>
                <w:szCs w:val="20"/>
                <w:lang w:val="en-US" w:eastAsia="zh-CN" w:bidi="ar"/>
              </w:rPr>
              <w:t>12 556,36</w:t>
            </w:r>
          </w:p>
        </w:tc>
        <w:tc>
          <w:tcPr>
            <w:tcW w:w="1276" w:type="dxa"/>
            <w:tcBorders>
              <w:top w:val="nil"/>
              <w:left w:val="nil"/>
              <w:bottom w:val="single" w:color="auto" w:sz="4" w:space="0"/>
              <w:right w:val="single" w:color="auto" w:sz="4" w:space="0"/>
            </w:tcBorders>
            <w:shd w:val="clear" w:color="000000" w:fill="FFFFFF"/>
            <w:vAlign w:val="bottom"/>
          </w:tcPr>
          <w:p w14:paraId="38EDAC00">
            <w:pPr>
              <w:jc w:val="center"/>
              <w:textAlignment w:val="bottom"/>
              <w:rPr>
                <w:color w:val="000000"/>
                <w:sz w:val="20"/>
                <w:szCs w:val="20"/>
              </w:rPr>
            </w:pPr>
            <w:r>
              <w:rPr>
                <w:rFonts w:eastAsia="SimSun"/>
                <w:color w:val="000000"/>
                <w:sz w:val="20"/>
                <w:szCs w:val="20"/>
                <w:lang w:val="en-US" w:eastAsia="zh-CN" w:bidi="ar"/>
              </w:rPr>
              <w:t>28 459,86</w:t>
            </w:r>
          </w:p>
        </w:tc>
        <w:tc>
          <w:tcPr>
            <w:tcW w:w="1702" w:type="dxa"/>
            <w:tcBorders>
              <w:top w:val="nil"/>
              <w:left w:val="nil"/>
              <w:bottom w:val="single" w:color="auto" w:sz="4" w:space="0"/>
              <w:right w:val="single" w:color="auto" w:sz="4" w:space="0"/>
            </w:tcBorders>
            <w:shd w:val="clear" w:color="000000" w:fill="FFFFFF"/>
            <w:vAlign w:val="bottom"/>
          </w:tcPr>
          <w:p w14:paraId="7B609CCE">
            <w:pPr>
              <w:jc w:val="center"/>
              <w:textAlignment w:val="bottom"/>
              <w:rPr>
                <w:color w:val="000000"/>
                <w:sz w:val="20"/>
                <w:szCs w:val="20"/>
              </w:rPr>
            </w:pPr>
            <w:r>
              <w:rPr>
                <w:rFonts w:eastAsia="SimSun"/>
                <w:color w:val="000000"/>
                <w:sz w:val="20"/>
                <w:szCs w:val="20"/>
                <w:lang w:val="en-US" w:eastAsia="zh-CN" w:bidi="ar"/>
              </w:rPr>
              <w:t>10 709,45</w:t>
            </w:r>
          </w:p>
        </w:tc>
        <w:tc>
          <w:tcPr>
            <w:tcW w:w="1277" w:type="dxa"/>
            <w:tcBorders>
              <w:top w:val="nil"/>
              <w:left w:val="nil"/>
              <w:bottom w:val="single" w:color="auto" w:sz="4" w:space="0"/>
              <w:right w:val="single" w:color="auto" w:sz="4" w:space="0"/>
            </w:tcBorders>
            <w:shd w:val="clear" w:color="auto" w:fill="auto"/>
            <w:vAlign w:val="bottom"/>
          </w:tcPr>
          <w:p w14:paraId="1A7AC832">
            <w:pPr>
              <w:jc w:val="center"/>
              <w:textAlignment w:val="bottom"/>
              <w:rPr>
                <w:color w:val="000000"/>
                <w:sz w:val="20"/>
                <w:szCs w:val="20"/>
              </w:rPr>
            </w:pPr>
            <w:r>
              <w:rPr>
                <w:rFonts w:eastAsia="SimSun"/>
                <w:color w:val="000000"/>
                <w:sz w:val="20"/>
                <w:szCs w:val="20"/>
                <w:lang w:val="en-US" w:eastAsia="zh-CN" w:bidi="ar"/>
              </w:rPr>
              <w:t>37,63</w:t>
            </w:r>
          </w:p>
        </w:tc>
        <w:tc>
          <w:tcPr>
            <w:tcW w:w="1336" w:type="dxa"/>
            <w:tcBorders>
              <w:top w:val="nil"/>
              <w:left w:val="nil"/>
              <w:bottom w:val="single" w:color="auto" w:sz="4" w:space="0"/>
              <w:right w:val="single" w:color="auto" w:sz="4" w:space="0"/>
            </w:tcBorders>
            <w:shd w:val="clear" w:color="auto" w:fill="auto"/>
            <w:vAlign w:val="bottom"/>
          </w:tcPr>
          <w:p w14:paraId="55FA7C7C">
            <w:pPr>
              <w:jc w:val="center"/>
              <w:textAlignment w:val="bottom"/>
              <w:rPr>
                <w:color w:val="000000"/>
                <w:sz w:val="20"/>
                <w:szCs w:val="20"/>
              </w:rPr>
            </w:pPr>
            <w:r>
              <w:rPr>
                <w:rFonts w:eastAsia="SimSun"/>
                <w:color w:val="000000"/>
                <w:sz w:val="20"/>
                <w:szCs w:val="20"/>
                <w:lang w:val="en-US" w:eastAsia="zh-CN" w:bidi="ar"/>
              </w:rPr>
              <w:t>85,29</w:t>
            </w:r>
          </w:p>
        </w:tc>
      </w:tr>
      <w:tr w14:paraId="7A48A641">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62EF9000">
            <w:pPr>
              <w:textAlignment w:val="center"/>
              <w:rPr>
                <w:color w:val="000000"/>
                <w:sz w:val="20"/>
                <w:szCs w:val="20"/>
              </w:rPr>
            </w:pPr>
            <w:r>
              <w:rPr>
                <w:rFonts w:eastAsia="SimSun"/>
                <w:color w:val="000000"/>
                <w:sz w:val="20"/>
                <w:szCs w:val="20"/>
                <w:lang w:eastAsia="zh-CN" w:bidi="ar"/>
              </w:rPr>
              <w:t>Платежи при пользовании природными ресурсами</w:t>
            </w:r>
          </w:p>
        </w:tc>
        <w:tc>
          <w:tcPr>
            <w:tcW w:w="1220" w:type="dxa"/>
            <w:tcBorders>
              <w:top w:val="nil"/>
              <w:left w:val="nil"/>
              <w:bottom w:val="single" w:color="auto" w:sz="4" w:space="0"/>
              <w:right w:val="single" w:color="auto" w:sz="4" w:space="0"/>
            </w:tcBorders>
            <w:shd w:val="clear" w:color="000000" w:fill="FFFFFF"/>
            <w:vAlign w:val="bottom"/>
          </w:tcPr>
          <w:p w14:paraId="525C6529">
            <w:pPr>
              <w:jc w:val="center"/>
              <w:textAlignment w:val="bottom"/>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349,37</w:t>
            </w:r>
          </w:p>
        </w:tc>
        <w:tc>
          <w:tcPr>
            <w:tcW w:w="1276" w:type="dxa"/>
            <w:tcBorders>
              <w:top w:val="nil"/>
              <w:left w:val="nil"/>
              <w:bottom w:val="single" w:color="auto" w:sz="4" w:space="0"/>
              <w:right w:val="single" w:color="auto" w:sz="4" w:space="0"/>
            </w:tcBorders>
            <w:shd w:val="clear" w:color="auto" w:fill="auto"/>
            <w:noWrap/>
            <w:vAlign w:val="bottom"/>
          </w:tcPr>
          <w:p w14:paraId="0D6DB9D2">
            <w:pPr>
              <w:jc w:val="center"/>
              <w:textAlignment w:val="bottom"/>
              <w:rPr>
                <w:color w:val="000000"/>
                <w:sz w:val="20"/>
                <w:szCs w:val="20"/>
              </w:rPr>
            </w:pPr>
            <w:r>
              <w:rPr>
                <w:rFonts w:eastAsia="SimSun"/>
                <w:color w:val="000000"/>
                <w:sz w:val="20"/>
                <w:szCs w:val="20"/>
                <w:lang w:val="en-US" w:eastAsia="zh-CN" w:bidi="ar"/>
              </w:rPr>
              <w:t xml:space="preserve"> 582,07</w:t>
            </w:r>
          </w:p>
        </w:tc>
        <w:tc>
          <w:tcPr>
            <w:tcW w:w="1702" w:type="dxa"/>
            <w:tcBorders>
              <w:top w:val="nil"/>
              <w:left w:val="nil"/>
              <w:bottom w:val="single" w:color="auto" w:sz="4" w:space="0"/>
              <w:right w:val="single" w:color="auto" w:sz="4" w:space="0"/>
            </w:tcBorders>
            <w:shd w:val="clear" w:color="000000" w:fill="FFFFFF"/>
            <w:vAlign w:val="bottom"/>
          </w:tcPr>
          <w:p w14:paraId="729A128B">
            <w:pPr>
              <w:jc w:val="center"/>
              <w:textAlignment w:val="bottom"/>
              <w:rPr>
                <w:color w:val="000000"/>
                <w:sz w:val="20"/>
                <w:szCs w:val="20"/>
              </w:rPr>
            </w:pPr>
            <w:r>
              <w:rPr>
                <w:rFonts w:eastAsia="SimSun"/>
                <w:color w:val="000000"/>
                <w:sz w:val="20"/>
                <w:szCs w:val="20"/>
                <w:lang w:val="en-US" w:eastAsia="zh-CN" w:bidi="ar"/>
              </w:rPr>
              <w:t xml:space="preserve"> 317,79</w:t>
            </w:r>
          </w:p>
        </w:tc>
        <w:tc>
          <w:tcPr>
            <w:tcW w:w="1277" w:type="dxa"/>
            <w:tcBorders>
              <w:top w:val="nil"/>
              <w:left w:val="nil"/>
              <w:bottom w:val="single" w:color="auto" w:sz="4" w:space="0"/>
              <w:right w:val="single" w:color="auto" w:sz="4" w:space="0"/>
            </w:tcBorders>
            <w:shd w:val="clear" w:color="auto" w:fill="auto"/>
            <w:vAlign w:val="bottom"/>
          </w:tcPr>
          <w:p w14:paraId="44FFA653">
            <w:pPr>
              <w:jc w:val="center"/>
              <w:textAlignment w:val="bottom"/>
              <w:rPr>
                <w:color w:val="000000"/>
                <w:sz w:val="20"/>
                <w:szCs w:val="20"/>
              </w:rPr>
            </w:pPr>
            <w:r>
              <w:rPr>
                <w:rFonts w:eastAsia="SimSun"/>
                <w:color w:val="000000"/>
                <w:sz w:val="20"/>
                <w:szCs w:val="20"/>
                <w:lang w:val="en-US" w:eastAsia="zh-CN" w:bidi="ar"/>
              </w:rPr>
              <w:t>54,60</w:t>
            </w:r>
          </w:p>
        </w:tc>
        <w:tc>
          <w:tcPr>
            <w:tcW w:w="1336" w:type="dxa"/>
            <w:tcBorders>
              <w:top w:val="nil"/>
              <w:left w:val="nil"/>
              <w:bottom w:val="single" w:color="auto" w:sz="4" w:space="0"/>
              <w:right w:val="single" w:color="auto" w:sz="4" w:space="0"/>
            </w:tcBorders>
            <w:shd w:val="clear" w:color="auto" w:fill="auto"/>
            <w:vAlign w:val="bottom"/>
          </w:tcPr>
          <w:p w14:paraId="34EEF28E">
            <w:pPr>
              <w:jc w:val="center"/>
              <w:textAlignment w:val="bottom"/>
              <w:rPr>
                <w:color w:val="000000"/>
                <w:sz w:val="20"/>
                <w:szCs w:val="20"/>
              </w:rPr>
            </w:pPr>
            <w:r>
              <w:rPr>
                <w:rFonts w:eastAsia="SimSun"/>
                <w:color w:val="000000"/>
                <w:sz w:val="20"/>
                <w:szCs w:val="20"/>
                <w:lang w:val="en-US" w:eastAsia="zh-CN" w:bidi="ar"/>
              </w:rPr>
              <w:t>90,96</w:t>
            </w:r>
          </w:p>
        </w:tc>
      </w:tr>
      <w:tr w14:paraId="05BF4EAF">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2C67D42A">
            <w:pPr>
              <w:textAlignment w:val="center"/>
              <w:rPr>
                <w:color w:val="000000"/>
                <w:sz w:val="20"/>
                <w:szCs w:val="20"/>
              </w:rPr>
            </w:pPr>
            <w:r>
              <w:rPr>
                <w:rFonts w:eastAsia="SimSun"/>
                <w:color w:val="000000"/>
                <w:sz w:val="20"/>
                <w:szCs w:val="20"/>
                <w:lang w:eastAsia="zh-CN" w:bidi="ar"/>
              </w:rPr>
              <w:t>Доходы от оказания платных услуг</w:t>
            </w:r>
          </w:p>
        </w:tc>
        <w:tc>
          <w:tcPr>
            <w:tcW w:w="1220" w:type="dxa"/>
            <w:tcBorders>
              <w:top w:val="nil"/>
              <w:left w:val="nil"/>
              <w:bottom w:val="single" w:color="auto" w:sz="4" w:space="0"/>
              <w:right w:val="single" w:color="auto" w:sz="4" w:space="0"/>
            </w:tcBorders>
            <w:shd w:val="clear" w:color="000000" w:fill="FFFFFF"/>
            <w:vAlign w:val="bottom"/>
          </w:tcPr>
          <w:p w14:paraId="2938081E">
            <w:pPr>
              <w:jc w:val="center"/>
              <w:textAlignment w:val="bottom"/>
              <w:rPr>
                <w:color w:val="000000"/>
                <w:sz w:val="20"/>
                <w:szCs w:val="20"/>
              </w:rPr>
            </w:pPr>
            <w:r>
              <w:rPr>
                <w:rFonts w:eastAsia="SimSun"/>
                <w:color w:val="000000"/>
                <w:sz w:val="20"/>
                <w:szCs w:val="20"/>
                <w:lang w:val="en-US" w:eastAsia="zh-CN" w:bidi="ar"/>
              </w:rPr>
              <w:t>25 601,23</w:t>
            </w:r>
          </w:p>
        </w:tc>
        <w:tc>
          <w:tcPr>
            <w:tcW w:w="1276" w:type="dxa"/>
            <w:tcBorders>
              <w:top w:val="nil"/>
              <w:left w:val="nil"/>
              <w:bottom w:val="single" w:color="auto" w:sz="4" w:space="0"/>
              <w:right w:val="single" w:color="auto" w:sz="4" w:space="0"/>
            </w:tcBorders>
            <w:shd w:val="clear" w:color="auto" w:fill="auto"/>
            <w:noWrap/>
            <w:vAlign w:val="bottom"/>
          </w:tcPr>
          <w:p w14:paraId="503020D4">
            <w:pPr>
              <w:jc w:val="center"/>
              <w:textAlignment w:val="bottom"/>
              <w:rPr>
                <w:color w:val="000000"/>
                <w:sz w:val="20"/>
                <w:szCs w:val="20"/>
              </w:rPr>
            </w:pPr>
            <w:r>
              <w:rPr>
                <w:rFonts w:eastAsia="SimSun"/>
                <w:color w:val="000000"/>
                <w:sz w:val="20"/>
                <w:szCs w:val="20"/>
                <w:lang w:val="en-US" w:eastAsia="zh-CN" w:bidi="ar"/>
              </w:rPr>
              <w:t>69 545,88</w:t>
            </w:r>
          </w:p>
        </w:tc>
        <w:tc>
          <w:tcPr>
            <w:tcW w:w="1702" w:type="dxa"/>
            <w:tcBorders>
              <w:top w:val="nil"/>
              <w:left w:val="nil"/>
              <w:bottom w:val="single" w:color="auto" w:sz="4" w:space="0"/>
              <w:right w:val="single" w:color="auto" w:sz="4" w:space="0"/>
            </w:tcBorders>
            <w:shd w:val="clear" w:color="000000" w:fill="FFFFFF"/>
            <w:vAlign w:val="bottom"/>
          </w:tcPr>
          <w:p w14:paraId="566E4293">
            <w:pPr>
              <w:jc w:val="center"/>
              <w:textAlignment w:val="bottom"/>
              <w:rPr>
                <w:color w:val="000000"/>
                <w:sz w:val="20"/>
                <w:szCs w:val="20"/>
              </w:rPr>
            </w:pPr>
            <w:r>
              <w:rPr>
                <w:rFonts w:eastAsia="SimSun"/>
                <w:color w:val="000000"/>
                <w:sz w:val="20"/>
                <w:szCs w:val="20"/>
                <w:lang w:val="en-US" w:eastAsia="zh-CN" w:bidi="ar"/>
              </w:rPr>
              <w:t>29 912,15</w:t>
            </w:r>
          </w:p>
        </w:tc>
        <w:tc>
          <w:tcPr>
            <w:tcW w:w="1277" w:type="dxa"/>
            <w:tcBorders>
              <w:top w:val="nil"/>
              <w:left w:val="nil"/>
              <w:bottom w:val="single" w:color="auto" w:sz="4" w:space="0"/>
              <w:right w:val="single" w:color="auto" w:sz="4" w:space="0"/>
            </w:tcBorders>
            <w:shd w:val="clear" w:color="auto" w:fill="auto"/>
            <w:vAlign w:val="bottom"/>
          </w:tcPr>
          <w:p w14:paraId="160F6CD5">
            <w:pPr>
              <w:jc w:val="center"/>
              <w:textAlignment w:val="bottom"/>
              <w:rPr>
                <w:color w:val="000000"/>
                <w:sz w:val="20"/>
                <w:szCs w:val="20"/>
              </w:rPr>
            </w:pPr>
            <w:r>
              <w:rPr>
                <w:rFonts w:eastAsia="SimSun"/>
                <w:color w:val="000000"/>
                <w:sz w:val="20"/>
                <w:szCs w:val="20"/>
                <w:lang w:val="en-US" w:eastAsia="zh-CN" w:bidi="ar"/>
              </w:rPr>
              <w:t>43,01</w:t>
            </w:r>
          </w:p>
        </w:tc>
        <w:tc>
          <w:tcPr>
            <w:tcW w:w="1336" w:type="dxa"/>
            <w:tcBorders>
              <w:top w:val="nil"/>
              <w:left w:val="nil"/>
              <w:bottom w:val="single" w:color="auto" w:sz="4" w:space="0"/>
              <w:right w:val="single" w:color="auto" w:sz="4" w:space="0"/>
            </w:tcBorders>
            <w:shd w:val="clear" w:color="auto" w:fill="auto"/>
            <w:vAlign w:val="bottom"/>
          </w:tcPr>
          <w:p w14:paraId="3D228658">
            <w:pPr>
              <w:jc w:val="center"/>
              <w:textAlignment w:val="bottom"/>
              <w:rPr>
                <w:color w:val="000000"/>
                <w:sz w:val="20"/>
                <w:szCs w:val="20"/>
              </w:rPr>
            </w:pPr>
            <w:r>
              <w:rPr>
                <w:rFonts w:eastAsia="SimSun"/>
                <w:color w:val="000000"/>
                <w:sz w:val="20"/>
                <w:szCs w:val="20"/>
                <w:lang w:val="en-US" w:eastAsia="zh-CN" w:bidi="ar"/>
              </w:rPr>
              <w:t>116,84</w:t>
            </w:r>
          </w:p>
        </w:tc>
      </w:tr>
      <w:tr w14:paraId="55088856">
        <w:tblPrEx>
          <w:tblCellMar>
            <w:top w:w="0" w:type="dxa"/>
            <w:left w:w="108" w:type="dxa"/>
            <w:bottom w:w="0" w:type="dxa"/>
            <w:right w:w="108" w:type="dxa"/>
          </w:tblCellMar>
        </w:tblPrEx>
        <w:trPr>
          <w:trHeight w:val="51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26D20754">
            <w:pPr>
              <w:textAlignment w:val="center"/>
              <w:rPr>
                <w:color w:val="000000"/>
                <w:sz w:val="20"/>
                <w:szCs w:val="20"/>
              </w:rPr>
            </w:pPr>
            <w:r>
              <w:rPr>
                <w:rFonts w:eastAsia="SimSun"/>
                <w:color w:val="000000"/>
                <w:sz w:val="20"/>
                <w:szCs w:val="20"/>
                <w:lang w:eastAsia="zh-CN" w:bidi="ar"/>
              </w:rPr>
              <w:t>Доходы от продажи материальных и нематериальных активов</w:t>
            </w:r>
          </w:p>
        </w:tc>
        <w:tc>
          <w:tcPr>
            <w:tcW w:w="1220" w:type="dxa"/>
            <w:tcBorders>
              <w:top w:val="nil"/>
              <w:left w:val="nil"/>
              <w:bottom w:val="single" w:color="auto" w:sz="4" w:space="0"/>
              <w:right w:val="single" w:color="auto" w:sz="4" w:space="0"/>
            </w:tcBorders>
            <w:shd w:val="clear" w:color="000000" w:fill="FFFFFF"/>
            <w:vAlign w:val="bottom"/>
          </w:tcPr>
          <w:p w14:paraId="074C79DA">
            <w:pPr>
              <w:jc w:val="center"/>
              <w:textAlignment w:val="bottom"/>
              <w:rPr>
                <w:color w:val="000000"/>
                <w:sz w:val="20"/>
                <w:szCs w:val="20"/>
              </w:rPr>
            </w:pPr>
            <w:r>
              <w:rPr>
                <w:rFonts w:eastAsia="SimSun"/>
                <w:color w:val="000000"/>
                <w:sz w:val="20"/>
                <w:szCs w:val="20"/>
                <w:lang w:val="en-US" w:eastAsia="zh-CN" w:bidi="ar"/>
              </w:rPr>
              <w:t>4 483,29</w:t>
            </w:r>
          </w:p>
        </w:tc>
        <w:tc>
          <w:tcPr>
            <w:tcW w:w="1276" w:type="dxa"/>
            <w:tcBorders>
              <w:top w:val="nil"/>
              <w:left w:val="nil"/>
              <w:bottom w:val="single" w:color="auto" w:sz="4" w:space="0"/>
              <w:right w:val="single" w:color="auto" w:sz="4" w:space="0"/>
            </w:tcBorders>
            <w:shd w:val="clear" w:color="auto" w:fill="auto"/>
            <w:noWrap/>
            <w:vAlign w:val="bottom"/>
          </w:tcPr>
          <w:p w14:paraId="7E368763">
            <w:pPr>
              <w:jc w:val="center"/>
              <w:textAlignment w:val="bottom"/>
              <w:rPr>
                <w:color w:val="000000"/>
                <w:sz w:val="20"/>
                <w:szCs w:val="20"/>
              </w:rPr>
            </w:pPr>
            <w:r>
              <w:rPr>
                <w:rFonts w:eastAsia="SimSun"/>
                <w:color w:val="000000"/>
                <w:sz w:val="20"/>
                <w:szCs w:val="20"/>
                <w:lang w:val="en-US" w:eastAsia="zh-CN" w:bidi="ar"/>
              </w:rPr>
              <w:t>9 120,75</w:t>
            </w:r>
          </w:p>
        </w:tc>
        <w:tc>
          <w:tcPr>
            <w:tcW w:w="1702" w:type="dxa"/>
            <w:tcBorders>
              <w:top w:val="nil"/>
              <w:left w:val="nil"/>
              <w:bottom w:val="single" w:color="auto" w:sz="4" w:space="0"/>
              <w:right w:val="single" w:color="auto" w:sz="4" w:space="0"/>
            </w:tcBorders>
            <w:shd w:val="clear" w:color="000000" w:fill="FFFFFF"/>
            <w:vAlign w:val="bottom"/>
          </w:tcPr>
          <w:p w14:paraId="554175EA">
            <w:pPr>
              <w:jc w:val="center"/>
              <w:textAlignment w:val="bottom"/>
              <w:rPr>
                <w:color w:val="000000"/>
                <w:sz w:val="20"/>
                <w:szCs w:val="20"/>
              </w:rPr>
            </w:pPr>
            <w:r>
              <w:rPr>
                <w:rFonts w:eastAsia="SimSun"/>
                <w:color w:val="000000"/>
                <w:sz w:val="20"/>
                <w:szCs w:val="20"/>
                <w:lang w:val="en-US" w:eastAsia="zh-CN" w:bidi="ar"/>
              </w:rPr>
              <w:t>1 097,17</w:t>
            </w:r>
          </w:p>
        </w:tc>
        <w:tc>
          <w:tcPr>
            <w:tcW w:w="1277" w:type="dxa"/>
            <w:tcBorders>
              <w:top w:val="nil"/>
              <w:left w:val="nil"/>
              <w:bottom w:val="single" w:color="auto" w:sz="4" w:space="0"/>
              <w:right w:val="single" w:color="auto" w:sz="4" w:space="0"/>
            </w:tcBorders>
            <w:shd w:val="clear" w:color="auto" w:fill="auto"/>
            <w:vAlign w:val="bottom"/>
          </w:tcPr>
          <w:p w14:paraId="290B7931">
            <w:pPr>
              <w:jc w:val="center"/>
              <w:textAlignment w:val="bottom"/>
              <w:rPr>
                <w:color w:val="000000"/>
                <w:sz w:val="20"/>
                <w:szCs w:val="20"/>
              </w:rPr>
            </w:pPr>
            <w:r>
              <w:rPr>
                <w:rFonts w:eastAsia="SimSun"/>
                <w:color w:val="000000"/>
                <w:sz w:val="20"/>
                <w:szCs w:val="20"/>
                <w:lang w:val="en-US" w:eastAsia="zh-CN" w:bidi="ar"/>
              </w:rPr>
              <w:t>12,03</w:t>
            </w:r>
          </w:p>
        </w:tc>
        <w:tc>
          <w:tcPr>
            <w:tcW w:w="1336" w:type="dxa"/>
            <w:tcBorders>
              <w:top w:val="nil"/>
              <w:left w:val="nil"/>
              <w:bottom w:val="single" w:color="auto" w:sz="4" w:space="0"/>
              <w:right w:val="single" w:color="auto" w:sz="4" w:space="0"/>
            </w:tcBorders>
            <w:shd w:val="clear" w:color="auto" w:fill="auto"/>
            <w:vAlign w:val="bottom"/>
          </w:tcPr>
          <w:p w14:paraId="4E47B665">
            <w:pPr>
              <w:jc w:val="center"/>
              <w:textAlignment w:val="bottom"/>
              <w:rPr>
                <w:color w:val="000000"/>
                <w:sz w:val="20"/>
                <w:szCs w:val="20"/>
              </w:rPr>
            </w:pPr>
            <w:r>
              <w:rPr>
                <w:rFonts w:eastAsia="SimSun"/>
                <w:color w:val="000000"/>
                <w:sz w:val="20"/>
                <w:szCs w:val="20"/>
                <w:lang w:val="en-US" w:eastAsia="zh-CN" w:bidi="ar"/>
              </w:rPr>
              <w:t>24,47</w:t>
            </w:r>
          </w:p>
        </w:tc>
      </w:tr>
      <w:tr w14:paraId="20DF2B69">
        <w:tblPrEx>
          <w:tblCellMar>
            <w:top w:w="0" w:type="dxa"/>
            <w:left w:w="108" w:type="dxa"/>
            <w:bottom w:w="0" w:type="dxa"/>
            <w:right w:w="108" w:type="dxa"/>
          </w:tblCellMar>
        </w:tblPrEx>
        <w:trPr>
          <w:trHeight w:val="727"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1A831CA7">
            <w:pPr>
              <w:textAlignment w:val="center"/>
              <w:rPr>
                <w:color w:val="000000"/>
                <w:sz w:val="20"/>
                <w:szCs w:val="20"/>
              </w:rPr>
            </w:pPr>
            <w:r>
              <w:rPr>
                <w:rFonts w:eastAsia="SimSun"/>
                <w:color w:val="000000"/>
                <w:sz w:val="20"/>
                <w:szCs w:val="20"/>
                <w:lang w:eastAsia="zh-CN" w:bidi="ar"/>
              </w:rPr>
              <w:t>Штрафы, санкции, возмещение ущерба, административные платежи</w:t>
            </w:r>
          </w:p>
        </w:tc>
        <w:tc>
          <w:tcPr>
            <w:tcW w:w="1220" w:type="dxa"/>
            <w:tcBorders>
              <w:top w:val="nil"/>
              <w:left w:val="nil"/>
              <w:bottom w:val="single" w:color="auto" w:sz="4" w:space="0"/>
              <w:right w:val="single" w:color="auto" w:sz="4" w:space="0"/>
            </w:tcBorders>
            <w:shd w:val="clear" w:color="000000" w:fill="FFFFFF"/>
            <w:vAlign w:val="bottom"/>
          </w:tcPr>
          <w:p w14:paraId="26188AD8">
            <w:pPr>
              <w:jc w:val="center"/>
              <w:textAlignment w:val="bottom"/>
              <w:rPr>
                <w:color w:val="000000"/>
                <w:sz w:val="20"/>
                <w:szCs w:val="20"/>
              </w:rPr>
            </w:pPr>
            <w:r>
              <w:rPr>
                <w:rFonts w:eastAsia="SimSun"/>
                <w:color w:val="000000"/>
                <w:sz w:val="20"/>
                <w:szCs w:val="20"/>
                <w:lang w:val="en-US" w:eastAsia="zh-CN" w:bidi="ar"/>
              </w:rPr>
              <w:t>2 443,36</w:t>
            </w:r>
          </w:p>
        </w:tc>
        <w:tc>
          <w:tcPr>
            <w:tcW w:w="1276" w:type="dxa"/>
            <w:tcBorders>
              <w:top w:val="nil"/>
              <w:left w:val="nil"/>
              <w:bottom w:val="single" w:color="auto" w:sz="4" w:space="0"/>
              <w:right w:val="single" w:color="auto" w:sz="4" w:space="0"/>
            </w:tcBorders>
            <w:shd w:val="clear" w:color="auto" w:fill="auto"/>
            <w:noWrap/>
            <w:vAlign w:val="bottom"/>
          </w:tcPr>
          <w:p w14:paraId="19F95A36">
            <w:pPr>
              <w:jc w:val="center"/>
              <w:textAlignment w:val="bottom"/>
              <w:rPr>
                <w:color w:val="000000"/>
                <w:sz w:val="20"/>
                <w:szCs w:val="20"/>
              </w:rPr>
            </w:pPr>
            <w:r>
              <w:rPr>
                <w:rFonts w:eastAsia="SimSun"/>
                <w:color w:val="000000"/>
                <w:sz w:val="20"/>
                <w:szCs w:val="20"/>
                <w:lang w:val="en-US" w:eastAsia="zh-CN" w:bidi="ar"/>
              </w:rPr>
              <w:t>3 207,54</w:t>
            </w:r>
          </w:p>
        </w:tc>
        <w:tc>
          <w:tcPr>
            <w:tcW w:w="1702" w:type="dxa"/>
            <w:tcBorders>
              <w:top w:val="nil"/>
              <w:left w:val="nil"/>
              <w:bottom w:val="single" w:color="auto" w:sz="4" w:space="0"/>
              <w:right w:val="single" w:color="auto" w:sz="4" w:space="0"/>
            </w:tcBorders>
            <w:shd w:val="clear" w:color="000000" w:fill="FFFFFF"/>
            <w:vAlign w:val="bottom"/>
          </w:tcPr>
          <w:p w14:paraId="5C7D8BEB">
            <w:pPr>
              <w:jc w:val="center"/>
              <w:textAlignment w:val="bottom"/>
              <w:rPr>
                <w:color w:val="000000"/>
                <w:sz w:val="20"/>
                <w:szCs w:val="20"/>
              </w:rPr>
            </w:pPr>
            <w:r>
              <w:rPr>
                <w:rFonts w:eastAsia="SimSun"/>
                <w:color w:val="000000"/>
                <w:sz w:val="20"/>
                <w:szCs w:val="20"/>
                <w:lang w:val="en-US" w:eastAsia="zh-CN" w:bidi="ar"/>
              </w:rPr>
              <w:t>2 218,53</w:t>
            </w:r>
          </w:p>
        </w:tc>
        <w:tc>
          <w:tcPr>
            <w:tcW w:w="1277" w:type="dxa"/>
            <w:tcBorders>
              <w:top w:val="nil"/>
              <w:left w:val="nil"/>
              <w:bottom w:val="single" w:color="auto" w:sz="4" w:space="0"/>
              <w:right w:val="single" w:color="auto" w:sz="4" w:space="0"/>
            </w:tcBorders>
            <w:shd w:val="clear" w:color="auto" w:fill="auto"/>
            <w:vAlign w:val="bottom"/>
          </w:tcPr>
          <w:p w14:paraId="474E10B5">
            <w:pPr>
              <w:jc w:val="center"/>
              <w:textAlignment w:val="bottom"/>
              <w:rPr>
                <w:color w:val="000000"/>
                <w:sz w:val="20"/>
                <w:szCs w:val="20"/>
              </w:rPr>
            </w:pPr>
            <w:r>
              <w:rPr>
                <w:rFonts w:eastAsia="SimSun"/>
                <w:color w:val="000000"/>
                <w:sz w:val="20"/>
                <w:szCs w:val="20"/>
                <w:lang w:val="en-US" w:eastAsia="zh-CN" w:bidi="ar"/>
              </w:rPr>
              <w:t>69,17</w:t>
            </w:r>
          </w:p>
        </w:tc>
        <w:tc>
          <w:tcPr>
            <w:tcW w:w="1336" w:type="dxa"/>
            <w:tcBorders>
              <w:top w:val="nil"/>
              <w:left w:val="nil"/>
              <w:bottom w:val="single" w:color="auto" w:sz="4" w:space="0"/>
              <w:right w:val="single" w:color="auto" w:sz="4" w:space="0"/>
            </w:tcBorders>
            <w:shd w:val="clear" w:color="auto" w:fill="auto"/>
            <w:vAlign w:val="bottom"/>
          </w:tcPr>
          <w:p w14:paraId="5E28DBCE">
            <w:pPr>
              <w:jc w:val="center"/>
              <w:textAlignment w:val="bottom"/>
              <w:rPr>
                <w:color w:val="000000"/>
                <w:sz w:val="20"/>
                <w:szCs w:val="20"/>
              </w:rPr>
            </w:pPr>
            <w:r>
              <w:rPr>
                <w:rFonts w:eastAsia="SimSun"/>
                <w:color w:val="000000"/>
                <w:sz w:val="20"/>
                <w:szCs w:val="20"/>
                <w:lang w:val="en-US" w:eastAsia="zh-CN" w:bidi="ar"/>
              </w:rPr>
              <w:t>90,80</w:t>
            </w:r>
          </w:p>
        </w:tc>
      </w:tr>
      <w:tr w14:paraId="63721291">
        <w:tblPrEx>
          <w:tblCellMar>
            <w:top w:w="0" w:type="dxa"/>
            <w:left w:w="108" w:type="dxa"/>
            <w:bottom w:w="0" w:type="dxa"/>
            <w:right w:w="108" w:type="dxa"/>
          </w:tblCellMar>
        </w:tblPrEx>
        <w:trPr>
          <w:trHeight w:val="300" w:hRule="atLeast"/>
        </w:trPr>
        <w:tc>
          <w:tcPr>
            <w:tcW w:w="2545" w:type="dxa"/>
            <w:tcBorders>
              <w:top w:val="nil"/>
              <w:left w:val="single" w:color="auto" w:sz="4" w:space="0"/>
              <w:bottom w:val="single" w:color="auto" w:sz="4" w:space="0"/>
              <w:right w:val="single" w:color="auto" w:sz="4" w:space="0"/>
            </w:tcBorders>
            <w:shd w:val="clear" w:color="auto" w:fill="auto"/>
            <w:vAlign w:val="center"/>
          </w:tcPr>
          <w:p w14:paraId="010F9F60">
            <w:pPr>
              <w:textAlignment w:val="center"/>
              <w:rPr>
                <w:color w:val="000000"/>
                <w:sz w:val="20"/>
                <w:szCs w:val="20"/>
              </w:rPr>
            </w:pPr>
            <w:r>
              <w:rPr>
                <w:rFonts w:eastAsia="SimSun"/>
                <w:color w:val="000000"/>
                <w:sz w:val="20"/>
                <w:szCs w:val="20"/>
                <w:lang w:val="en-US" w:eastAsia="zh-CN" w:bidi="ar"/>
              </w:rPr>
              <w:t>Прочие неналоговые доходы</w:t>
            </w:r>
          </w:p>
        </w:tc>
        <w:tc>
          <w:tcPr>
            <w:tcW w:w="1220" w:type="dxa"/>
            <w:tcBorders>
              <w:top w:val="nil"/>
              <w:left w:val="nil"/>
              <w:bottom w:val="single" w:color="auto" w:sz="4" w:space="0"/>
              <w:right w:val="single" w:color="auto" w:sz="4" w:space="0"/>
            </w:tcBorders>
            <w:shd w:val="clear" w:color="000000" w:fill="FFFFFF"/>
            <w:vAlign w:val="bottom"/>
          </w:tcPr>
          <w:p w14:paraId="47D5EF24">
            <w:pPr>
              <w:jc w:val="center"/>
              <w:textAlignment w:val="bottom"/>
              <w:rPr>
                <w:color w:val="000000"/>
                <w:sz w:val="20"/>
                <w:szCs w:val="20"/>
              </w:rPr>
            </w:pPr>
            <w:r>
              <w:rPr>
                <w:rFonts w:eastAsia="SimSun"/>
                <w:color w:val="000000"/>
                <w:sz w:val="20"/>
                <w:szCs w:val="20"/>
                <w:lang w:val="en-US" w:eastAsia="zh-CN" w:bidi="ar"/>
              </w:rPr>
              <w:t xml:space="preserve"> 267,63</w:t>
            </w:r>
          </w:p>
        </w:tc>
        <w:tc>
          <w:tcPr>
            <w:tcW w:w="1276" w:type="dxa"/>
            <w:tcBorders>
              <w:top w:val="nil"/>
              <w:left w:val="nil"/>
              <w:bottom w:val="single" w:color="auto" w:sz="4" w:space="0"/>
              <w:right w:val="single" w:color="auto" w:sz="4" w:space="0"/>
            </w:tcBorders>
            <w:shd w:val="clear" w:color="auto" w:fill="auto"/>
            <w:noWrap/>
            <w:vAlign w:val="bottom"/>
          </w:tcPr>
          <w:p w14:paraId="25DA903D">
            <w:pPr>
              <w:jc w:val="center"/>
              <w:textAlignment w:val="bottom"/>
              <w:rPr>
                <w:color w:val="000000"/>
                <w:sz w:val="20"/>
                <w:szCs w:val="20"/>
              </w:rPr>
            </w:pPr>
            <w:r>
              <w:rPr>
                <w:rFonts w:eastAsia="SimSun"/>
                <w:color w:val="000000"/>
                <w:sz w:val="20"/>
                <w:szCs w:val="20"/>
                <w:lang w:val="en-US" w:eastAsia="zh-CN" w:bidi="ar"/>
              </w:rPr>
              <w:t xml:space="preserve"> 182,63</w:t>
            </w:r>
          </w:p>
        </w:tc>
        <w:tc>
          <w:tcPr>
            <w:tcW w:w="1702" w:type="dxa"/>
            <w:tcBorders>
              <w:top w:val="nil"/>
              <w:left w:val="nil"/>
              <w:bottom w:val="single" w:color="auto" w:sz="4" w:space="0"/>
              <w:right w:val="single" w:color="auto" w:sz="4" w:space="0"/>
            </w:tcBorders>
            <w:shd w:val="clear" w:color="000000" w:fill="FFFFFF"/>
            <w:vAlign w:val="bottom"/>
          </w:tcPr>
          <w:p w14:paraId="1B71279A">
            <w:pPr>
              <w:jc w:val="center"/>
              <w:textAlignment w:val="bottom"/>
              <w:rPr>
                <w:color w:val="000000"/>
                <w:sz w:val="20"/>
                <w:szCs w:val="20"/>
              </w:rPr>
            </w:pPr>
            <w:r>
              <w:rPr>
                <w:rFonts w:eastAsia="SimSun"/>
                <w:color w:val="000000"/>
                <w:sz w:val="20"/>
                <w:szCs w:val="20"/>
                <w:lang w:val="en-US" w:eastAsia="zh-CN" w:bidi="ar"/>
              </w:rPr>
              <w:t xml:space="preserve"> 348,34</w:t>
            </w:r>
          </w:p>
        </w:tc>
        <w:tc>
          <w:tcPr>
            <w:tcW w:w="1277" w:type="dxa"/>
            <w:tcBorders>
              <w:top w:val="nil"/>
              <w:left w:val="nil"/>
              <w:bottom w:val="single" w:color="auto" w:sz="4" w:space="0"/>
              <w:right w:val="single" w:color="auto" w:sz="4" w:space="0"/>
            </w:tcBorders>
            <w:shd w:val="clear" w:color="auto" w:fill="auto"/>
            <w:vAlign w:val="bottom"/>
          </w:tcPr>
          <w:p w14:paraId="49D33EEA">
            <w:pPr>
              <w:jc w:val="center"/>
              <w:textAlignment w:val="bottom"/>
              <w:rPr>
                <w:color w:val="000000"/>
                <w:sz w:val="20"/>
                <w:szCs w:val="20"/>
              </w:rPr>
            </w:pPr>
            <w:r>
              <w:rPr>
                <w:rFonts w:eastAsia="SimSun"/>
                <w:color w:val="000000"/>
                <w:sz w:val="20"/>
                <w:szCs w:val="20"/>
                <w:lang w:val="en-US" w:eastAsia="zh-CN" w:bidi="ar"/>
              </w:rPr>
              <w:t>190,74</w:t>
            </w:r>
          </w:p>
        </w:tc>
        <w:tc>
          <w:tcPr>
            <w:tcW w:w="1336" w:type="dxa"/>
            <w:tcBorders>
              <w:top w:val="nil"/>
              <w:left w:val="nil"/>
              <w:bottom w:val="single" w:color="auto" w:sz="4" w:space="0"/>
              <w:right w:val="single" w:color="auto" w:sz="4" w:space="0"/>
            </w:tcBorders>
            <w:shd w:val="clear" w:color="auto" w:fill="auto"/>
            <w:vAlign w:val="bottom"/>
          </w:tcPr>
          <w:p w14:paraId="27BF96D8">
            <w:pPr>
              <w:jc w:val="center"/>
              <w:textAlignment w:val="bottom"/>
              <w:rPr>
                <w:color w:val="000000"/>
                <w:sz w:val="20"/>
                <w:szCs w:val="20"/>
              </w:rPr>
            </w:pPr>
            <w:r>
              <w:rPr>
                <w:rFonts w:eastAsia="SimSun"/>
                <w:color w:val="000000"/>
                <w:sz w:val="20"/>
                <w:szCs w:val="20"/>
                <w:lang w:val="en-US" w:eastAsia="zh-CN" w:bidi="ar"/>
              </w:rPr>
              <w:t>130,16</w:t>
            </w:r>
          </w:p>
        </w:tc>
      </w:tr>
    </w:tbl>
    <w:p w14:paraId="32756D1F">
      <w:pPr>
        <w:shd w:val="clear" w:color="auto" w:fill="FFFFFF"/>
        <w:jc w:val="both"/>
        <w:rPr>
          <w:sz w:val="20"/>
          <w:szCs w:val="20"/>
        </w:rPr>
      </w:pPr>
    </w:p>
    <w:p w14:paraId="62293CCC">
      <w:pPr>
        <w:ind w:firstLine="567"/>
        <w:jc w:val="both"/>
      </w:pPr>
      <w:r>
        <w:rPr>
          <w:b/>
        </w:rPr>
        <w:t>Налоговые доходы</w:t>
      </w:r>
      <w:r>
        <w:t xml:space="preserve"> за 1 полугодие текущего года составили </w:t>
      </w:r>
      <w:r>
        <w:rPr>
          <w:lang w:eastAsia="zh-CN"/>
        </w:rPr>
        <w:t>213 446,18</w:t>
      </w:r>
      <w:r>
        <w:t xml:space="preserve"> тыс. руб., их доля в общей сумме налоговых и неналоговых поступлений (далее - доходов) составляет 82,7%. В сравнении с анализируемым периодом 2023 года сумма доходов увеличилась на 13242,09 тыс. руб., или на 6,61 %.</w:t>
      </w:r>
    </w:p>
    <w:p w14:paraId="6AFA1076">
      <w:pPr>
        <w:jc w:val="both"/>
      </w:pPr>
      <w:r>
        <w:t>Структура налоговых поступлений за 1 полугодие 2024 года представлена в диаграмме №1.</w:t>
      </w:r>
    </w:p>
    <w:p w14:paraId="278F13D1">
      <w:pPr>
        <w:jc w:val="both"/>
      </w:pPr>
    </w:p>
    <w:p w14:paraId="2423AFB5">
      <w:pPr>
        <w:jc w:val="both"/>
      </w:pPr>
      <w:r>
        <w:drawing>
          <wp:inline distT="0" distB="0" distL="114300" distR="114300">
            <wp:extent cx="6038850" cy="2199005"/>
            <wp:effectExtent l="4445" t="4445" r="14605" b="635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027F58">
      <w:pPr>
        <w:ind w:firstLine="567"/>
        <w:jc w:val="both"/>
        <w:rPr>
          <w:highlight w:val="yellow"/>
        </w:rPr>
      </w:pPr>
    </w:p>
    <w:p w14:paraId="0EB87F5B">
      <w:pPr>
        <w:ind w:firstLine="567"/>
        <w:jc w:val="both"/>
      </w:pPr>
      <w:r>
        <w:t>Основным налогом, за счёт поступлений которого формируется бюджет района, является налог на доходы физических лиц, его доля в общей сумме доходов за 1 полугодие 2024 года составила 54,5% (</w:t>
      </w:r>
      <w:r>
        <w:rPr>
          <w:bCs/>
          <w:color w:val="000000"/>
        </w:rPr>
        <w:t xml:space="preserve">140716,47 </w:t>
      </w:r>
      <w:r>
        <w:t>тыс. руб.).</w:t>
      </w:r>
    </w:p>
    <w:p w14:paraId="3DD43D31">
      <w:pPr>
        <w:ind w:firstLine="567"/>
        <w:jc w:val="both"/>
      </w:pPr>
      <w:r>
        <w:t xml:space="preserve">В сравнении с анализируемым периодом 2023 года сумма поступлений по НДФЛ </w:t>
      </w:r>
      <w:r>
        <w:rPr>
          <w:b/>
          <w:bCs/>
        </w:rPr>
        <w:t>уменьшилась</w:t>
      </w:r>
      <w:r>
        <w:t xml:space="preserve"> на 1375,83 тыс. руб., или на 0,97% за счёт изменения сроков оплаты НДФЛ (Федеральный закон от 31.07.2023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w:t>
      </w:r>
    </w:p>
    <w:p w14:paraId="02536543">
      <w:pPr>
        <w:ind w:firstLine="567"/>
        <w:jc w:val="both"/>
      </w:pPr>
      <w:r>
        <w:rPr>
          <w:b/>
        </w:rPr>
        <w:t>Налог на товары (акцизы – 20 039,07 тыс. руб.</w:t>
      </w:r>
      <w:r>
        <w:t xml:space="preserve">) - его доля в общей сумме доходов за 1 полугодие 2024 года составила 7,8%. В сравнении с анализируемым периодом 2023 года сумма поступлений </w:t>
      </w:r>
      <w:r>
        <w:rPr>
          <w:b/>
          <w:bCs/>
        </w:rPr>
        <w:t>увеличилась</w:t>
      </w:r>
      <w:r>
        <w:t xml:space="preserve"> на 365,65 тыс. руб., или на 1,86%. Объем акцизов рассчитывается, исходя из прогноза поступлений главного администратора доходов - Управления Федерального Казначейства по Астраханской области. </w:t>
      </w:r>
    </w:p>
    <w:p w14:paraId="35FB0CE2">
      <w:pPr>
        <w:ind w:firstLine="567"/>
        <w:jc w:val="both"/>
      </w:pPr>
      <w:r>
        <w:rPr>
          <w:b/>
        </w:rPr>
        <w:t>Налог на совокупный доход (48051,60 тыс. руб.) -</w:t>
      </w:r>
      <w:r>
        <w:t xml:space="preserve"> его доля в общей сумме доходов за 1 полугодие 2024 года составила 18,6%. В сравнении с анализируемым периодом 2023 года сумма поступлений </w:t>
      </w:r>
      <w:r>
        <w:rPr>
          <w:b/>
        </w:rPr>
        <w:t>увеличилась</w:t>
      </w:r>
      <w:r>
        <w:t xml:space="preserve"> на 14065,92 тыс. руб., или на 41,39%. Изменение поступлений по видам налогов представлено в таблице №3.</w:t>
      </w:r>
    </w:p>
    <w:p w14:paraId="6CA4BD37">
      <w:pPr>
        <w:ind w:firstLine="567"/>
        <w:jc w:val="right"/>
      </w:pPr>
      <w:r>
        <w:t>Таблица №3 (тыс. руб.)</w:t>
      </w:r>
    </w:p>
    <w:tbl>
      <w:tblPr>
        <w:tblStyle w:val="3"/>
        <w:tblW w:w="9571" w:type="dxa"/>
        <w:tblInd w:w="0" w:type="dxa"/>
        <w:tblLayout w:type="fixed"/>
        <w:tblCellMar>
          <w:top w:w="0" w:type="dxa"/>
          <w:left w:w="108" w:type="dxa"/>
          <w:bottom w:w="0" w:type="dxa"/>
          <w:right w:w="108" w:type="dxa"/>
        </w:tblCellMar>
      </w:tblPr>
      <w:tblGrid>
        <w:gridCol w:w="3513"/>
        <w:gridCol w:w="1252"/>
        <w:gridCol w:w="1161"/>
        <w:gridCol w:w="1273"/>
        <w:gridCol w:w="1145"/>
        <w:gridCol w:w="1227"/>
      </w:tblGrid>
      <w:tr w14:paraId="6FED39DF">
        <w:tblPrEx>
          <w:tblCellMar>
            <w:top w:w="0" w:type="dxa"/>
            <w:left w:w="108" w:type="dxa"/>
            <w:bottom w:w="0" w:type="dxa"/>
            <w:right w:w="108" w:type="dxa"/>
          </w:tblCellMar>
        </w:tblPrEx>
        <w:trPr>
          <w:trHeight w:val="300" w:hRule="atLeast"/>
        </w:trPr>
        <w:tc>
          <w:tcPr>
            <w:tcW w:w="3513"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3452876B">
            <w:pPr>
              <w:jc w:val="center"/>
              <w:textAlignment w:val="center"/>
              <w:rPr>
                <w:color w:val="000000"/>
                <w:sz w:val="20"/>
                <w:szCs w:val="20"/>
              </w:rPr>
            </w:pPr>
            <w:r>
              <w:rPr>
                <w:rFonts w:eastAsia="SimSun"/>
                <w:color w:val="000000"/>
                <w:sz w:val="20"/>
                <w:szCs w:val="20"/>
                <w:lang w:val="en-US" w:eastAsia="zh-CN" w:bidi="ar"/>
              </w:rPr>
              <w:t>Наименование</w:t>
            </w:r>
          </w:p>
        </w:tc>
        <w:tc>
          <w:tcPr>
            <w:tcW w:w="1252"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7108A876">
            <w:pPr>
              <w:jc w:val="center"/>
              <w:textAlignment w:val="center"/>
              <w:rPr>
                <w:color w:val="000000"/>
                <w:sz w:val="20"/>
                <w:szCs w:val="20"/>
              </w:rPr>
            </w:pPr>
            <w:r>
              <w:rPr>
                <w:rFonts w:eastAsia="SimSun"/>
                <w:color w:val="000000"/>
                <w:sz w:val="20"/>
                <w:szCs w:val="20"/>
                <w:lang w:val="en-US" w:eastAsia="zh-CN" w:bidi="ar"/>
              </w:rPr>
              <w:t>Исполнение бюджета на 01.07.2023г</w:t>
            </w:r>
          </w:p>
        </w:tc>
        <w:tc>
          <w:tcPr>
            <w:tcW w:w="1161"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4D371A82">
            <w:pPr>
              <w:jc w:val="center"/>
              <w:textAlignment w:val="center"/>
              <w:rPr>
                <w:color w:val="000000"/>
                <w:sz w:val="20"/>
                <w:szCs w:val="20"/>
              </w:rPr>
            </w:pPr>
            <w:r>
              <w:rPr>
                <w:rFonts w:eastAsia="SimSun"/>
                <w:color w:val="000000"/>
                <w:sz w:val="20"/>
                <w:szCs w:val="20"/>
                <w:lang w:val="en-US" w:eastAsia="zh-CN" w:bidi="ar"/>
              </w:rPr>
              <w:t>Прогноз</w:t>
            </w:r>
          </w:p>
        </w:tc>
        <w:tc>
          <w:tcPr>
            <w:tcW w:w="1273"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14:paraId="5EA6981E">
            <w:pPr>
              <w:jc w:val="center"/>
              <w:textAlignment w:val="center"/>
              <w:rPr>
                <w:color w:val="000000"/>
                <w:sz w:val="20"/>
                <w:szCs w:val="20"/>
              </w:rPr>
            </w:pPr>
            <w:r>
              <w:rPr>
                <w:rFonts w:eastAsia="SimSun"/>
                <w:color w:val="000000"/>
                <w:sz w:val="20"/>
                <w:szCs w:val="20"/>
                <w:lang w:val="en-US" w:eastAsia="zh-CN" w:bidi="ar"/>
              </w:rPr>
              <w:t>Исполнение на 01.07.2024г</w:t>
            </w:r>
          </w:p>
        </w:tc>
        <w:tc>
          <w:tcPr>
            <w:tcW w:w="114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7501425">
            <w:pPr>
              <w:jc w:val="center"/>
              <w:textAlignment w:val="center"/>
              <w:rPr>
                <w:color w:val="000000"/>
                <w:sz w:val="20"/>
                <w:szCs w:val="20"/>
              </w:rPr>
            </w:pPr>
            <w:r>
              <w:rPr>
                <w:rFonts w:eastAsia="SimSun"/>
                <w:color w:val="000000"/>
                <w:sz w:val="20"/>
                <w:szCs w:val="20"/>
                <w:lang w:val="en-US" w:eastAsia="zh-CN" w:bidi="ar"/>
              </w:rPr>
              <w:t>Изменение</w:t>
            </w:r>
          </w:p>
        </w:tc>
        <w:tc>
          <w:tcPr>
            <w:tcW w:w="1227"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6BA42A17">
            <w:pPr>
              <w:jc w:val="center"/>
              <w:textAlignment w:val="center"/>
              <w:rPr>
                <w:color w:val="000000"/>
                <w:sz w:val="20"/>
                <w:szCs w:val="20"/>
              </w:rPr>
            </w:pPr>
            <w:r>
              <w:rPr>
                <w:rFonts w:eastAsia="SimSun"/>
                <w:color w:val="000000"/>
                <w:sz w:val="20"/>
                <w:szCs w:val="20"/>
                <w:lang w:eastAsia="zh-CN" w:bidi="ar"/>
              </w:rPr>
              <w:t xml:space="preserve">Темпы роста 2024 к 2023 (%) </w:t>
            </w:r>
            <w:r>
              <w:rPr>
                <w:rFonts w:eastAsia="SimSun"/>
                <w:color w:val="000000"/>
                <w:sz w:val="16"/>
                <w:szCs w:val="16"/>
                <w:lang w:eastAsia="zh-CN" w:bidi="ar"/>
              </w:rPr>
              <w:t>гр.4/гр.2*100</w:t>
            </w:r>
          </w:p>
        </w:tc>
      </w:tr>
      <w:tr w14:paraId="2EB38479">
        <w:tblPrEx>
          <w:tblCellMar>
            <w:top w:w="0" w:type="dxa"/>
            <w:left w:w="108" w:type="dxa"/>
            <w:bottom w:w="0" w:type="dxa"/>
            <w:right w:w="108" w:type="dxa"/>
          </w:tblCellMar>
        </w:tblPrEx>
        <w:trPr>
          <w:trHeight w:val="445" w:hRule="atLeast"/>
        </w:trPr>
        <w:tc>
          <w:tcPr>
            <w:tcW w:w="3513"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0A5C9B39">
            <w:pPr>
              <w:jc w:val="center"/>
              <w:rPr>
                <w:color w:val="000000"/>
                <w:sz w:val="20"/>
                <w:szCs w:val="20"/>
              </w:rPr>
            </w:pPr>
          </w:p>
        </w:tc>
        <w:tc>
          <w:tcPr>
            <w:tcW w:w="1252"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2802944">
            <w:pPr>
              <w:jc w:val="both"/>
              <w:rPr>
                <w:color w:val="000000"/>
                <w:sz w:val="20"/>
                <w:szCs w:val="20"/>
              </w:rPr>
            </w:pPr>
          </w:p>
        </w:tc>
        <w:tc>
          <w:tcPr>
            <w:tcW w:w="116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6F3CB936">
            <w:pPr>
              <w:jc w:val="both"/>
              <w:rPr>
                <w:color w:val="000000"/>
                <w:sz w:val="20"/>
                <w:szCs w:val="20"/>
              </w:rPr>
            </w:pPr>
          </w:p>
        </w:tc>
        <w:tc>
          <w:tcPr>
            <w:tcW w:w="1273"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14:paraId="73DEE611">
            <w:pPr>
              <w:jc w:val="both"/>
              <w:rPr>
                <w:color w:val="000000"/>
                <w:sz w:val="20"/>
                <w:szCs w:val="20"/>
              </w:rPr>
            </w:pPr>
          </w:p>
        </w:tc>
        <w:tc>
          <w:tcPr>
            <w:tcW w:w="114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3EF7533">
            <w:pPr>
              <w:jc w:val="center"/>
              <w:textAlignment w:val="center"/>
              <w:rPr>
                <w:color w:val="000000"/>
                <w:sz w:val="20"/>
                <w:szCs w:val="20"/>
              </w:rPr>
            </w:pPr>
            <w:r>
              <w:rPr>
                <w:rFonts w:eastAsia="SimSun"/>
                <w:color w:val="000000"/>
                <w:sz w:val="20"/>
                <w:szCs w:val="20"/>
                <w:lang w:eastAsia="zh-CN" w:bidi="ar"/>
              </w:rPr>
              <w:t xml:space="preserve"> </w:t>
            </w:r>
            <w:r>
              <w:rPr>
                <w:rFonts w:eastAsia="SimSun"/>
                <w:color w:val="000000"/>
                <w:sz w:val="18"/>
                <w:szCs w:val="18"/>
                <w:lang w:val="en-US" w:eastAsia="zh-CN" w:bidi="ar"/>
              </w:rPr>
              <w:t>(гр.4-гр.2)</w:t>
            </w:r>
          </w:p>
        </w:tc>
        <w:tc>
          <w:tcPr>
            <w:tcW w:w="1227"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F11C6CC">
            <w:pPr>
              <w:jc w:val="center"/>
              <w:rPr>
                <w:color w:val="000000"/>
                <w:sz w:val="20"/>
                <w:szCs w:val="20"/>
              </w:rPr>
            </w:pPr>
          </w:p>
        </w:tc>
      </w:tr>
      <w:tr w14:paraId="5438AFAA">
        <w:tblPrEx>
          <w:tblCellMar>
            <w:top w:w="0" w:type="dxa"/>
            <w:left w:w="108" w:type="dxa"/>
            <w:bottom w:w="0" w:type="dxa"/>
            <w:right w:w="108" w:type="dxa"/>
          </w:tblCellMar>
        </w:tblPrEx>
        <w:trPr>
          <w:trHeight w:val="300" w:hRule="atLeast"/>
        </w:trPr>
        <w:tc>
          <w:tcPr>
            <w:tcW w:w="35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8581891">
            <w:pPr>
              <w:jc w:val="center"/>
              <w:textAlignment w:val="center"/>
              <w:rPr>
                <w:color w:val="000000"/>
                <w:sz w:val="20"/>
                <w:szCs w:val="20"/>
              </w:rPr>
            </w:pPr>
            <w:r>
              <w:rPr>
                <w:rFonts w:eastAsia="SimSun"/>
                <w:color w:val="000000"/>
                <w:sz w:val="20"/>
                <w:szCs w:val="20"/>
                <w:lang w:val="en-US" w:eastAsia="zh-CN" w:bidi="ar"/>
              </w:rPr>
              <w:t>1</w:t>
            </w:r>
          </w:p>
        </w:tc>
        <w:tc>
          <w:tcPr>
            <w:tcW w:w="125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C0EE0D4">
            <w:pPr>
              <w:jc w:val="center"/>
              <w:textAlignment w:val="center"/>
              <w:rPr>
                <w:color w:val="000000"/>
                <w:sz w:val="20"/>
                <w:szCs w:val="20"/>
              </w:rPr>
            </w:pPr>
            <w:r>
              <w:rPr>
                <w:rFonts w:eastAsia="SimSun"/>
                <w:color w:val="000000"/>
                <w:sz w:val="20"/>
                <w:szCs w:val="20"/>
                <w:lang w:val="en-US" w:eastAsia="zh-CN" w:bidi="ar"/>
              </w:rPr>
              <w:t>2</w:t>
            </w:r>
          </w:p>
        </w:tc>
        <w:tc>
          <w:tcPr>
            <w:tcW w:w="116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8187BEF">
            <w:pPr>
              <w:jc w:val="center"/>
              <w:textAlignment w:val="center"/>
              <w:rPr>
                <w:color w:val="000000"/>
                <w:sz w:val="20"/>
                <w:szCs w:val="20"/>
              </w:rPr>
            </w:pPr>
            <w:r>
              <w:rPr>
                <w:rFonts w:eastAsia="SimSun"/>
                <w:color w:val="000000"/>
                <w:sz w:val="20"/>
                <w:szCs w:val="20"/>
                <w:lang w:val="en-US" w:eastAsia="zh-CN" w:bidi="ar"/>
              </w:rPr>
              <w:t>3</w:t>
            </w:r>
          </w:p>
        </w:tc>
        <w:tc>
          <w:tcPr>
            <w:tcW w:w="127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4D74DB2">
            <w:pPr>
              <w:jc w:val="center"/>
              <w:textAlignment w:val="center"/>
              <w:rPr>
                <w:color w:val="000000"/>
                <w:sz w:val="20"/>
                <w:szCs w:val="20"/>
              </w:rPr>
            </w:pPr>
            <w:r>
              <w:rPr>
                <w:rFonts w:eastAsia="SimSun"/>
                <w:color w:val="000000"/>
                <w:sz w:val="20"/>
                <w:szCs w:val="20"/>
                <w:lang w:val="en-US" w:eastAsia="zh-CN" w:bidi="ar"/>
              </w:rPr>
              <w:t>4</w:t>
            </w:r>
          </w:p>
        </w:tc>
        <w:tc>
          <w:tcPr>
            <w:tcW w:w="114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8419FEB">
            <w:pPr>
              <w:jc w:val="center"/>
              <w:textAlignment w:val="center"/>
              <w:rPr>
                <w:color w:val="000000"/>
                <w:sz w:val="20"/>
                <w:szCs w:val="20"/>
              </w:rPr>
            </w:pPr>
            <w:r>
              <w:rPr>
                <w:rFonts w:eastAsia="SimSun"/>
                <w:color w:val="000000"/>
                <w:sz w:val="20"/>
                <w:szCs w:val="20"/>
                <w:lang w:val="en-US" w:eastAsia="zh-CN" w:bidi="ar"/>
              </w:rPr>
              <w:t>5</w:t>
            </w:r>
          </w:p>
        </w:tc>
        <w:tc>
          <w:tcPr>
            <w:tcW w:w="12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A0D41E">
            <w:pPr>
              <w:rPr>
                <w:color w:val="000000"/>
                <w:sz w:val="20"/>
                <w:szCs w:val="20"/>
              </w:rPr>
            </w:pPr>
          </w:p>
        </w:tc>
      </w:tr>
      <w:tr w14:paraId="4F7F8DA6">
        <w:tblPrEx>
          <w:tblCellMar>
            <w:top w:w="0" w:type="dxa"/>
            <w:left w:w="108" w:type="dxa"/>
            <w:bottom w:w="0" w:type="dxa"/>
            <w:right w:w="108" w:type="dxa"/>
          </w:tblCellMar>
        </w:tblPrEx>
        <w:trPr>
          <w:trHeight w:val="500" w:hRule="atLeast"/>
        </w:trPr>
        <w:tc>
          <w:tcPr>
            <w:tcW w:w="35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727794">
            <w:pPr>
              <w:textAlignment w:val="center"/>
              <w:rPr>
                <w:color w:val="000000"/>
                <w:sz w:val="20"/>
                <w:szCs w:val="20"/>
              </w:rPr>
            </w:pPr>
            <w:r>
              <w:rPr>
                <w:rFonts w:eastAsia="SimSun"/>
                <w:color w:val="000000"/>
                <w:sz w:val="20"/>
                <w:szCs w:val="20"/>
                <w:lang w:eastAsia="zh-CN" w:bidi="ar"/>
              </w:rPr>
              <w:t>Налог, взимаемый в связи с применением упрощенной системы налогообложения</w:t>
            </w:r>
          </w:p>
        </w:tc>
        <w:tc>
          <w:tcPr>
            <w:tcW w:w="1252"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10ED98C2">
            <w:pPr>
              <w:jc w:val="center"/>
              <w:textAlignment w:val="bottom"/>
              <w:rPr>
                <w:color w:val="000000"/>
                <w:sz w:val="20"/>
                <w:szCs w:val="20"/>
              </w:rPr>
            </w:pPr>
            <w:r>
              <w:rPr>
                <w:rFonts w:eastAsia="SimSun"/>
                <w:color w:val="000000"/>
                <w:sz w:val="20"/>
                <w:szCs w:val="20"/>
                <w:lang w:val="en-US" w:eastAsia="zh-CN" w:bidi="ar"/>
              </w:rPr>
              <w:t xml:space="preserve">23616,02 </w:t>
            </w:r>
          </w:p>
        </w:tc>
        <w:tc>
          <w:tcPr>
            <w:tcW w:w="1161"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664B41A2">
            <w:pPr>
              <w:jc w:val="center"/>
              <w:textAlignment w:val="bottom"/>
              <w:rPr>
                <w:color w:val="000000"/>
                <w:sz w:val="20"/>
                <w:szCs w:val="20"/>
              </w:rPr>
            </w:pPr>
            <w:r>
              <w:rPr>
                <w:rFonts w:eastAsia="SimSun"/>
                <w:color w:val="000000"/>
                <w:sz w:val="20"/>
                <w:szCs w:val="20"/>
                <w:lang w:val="en-US" w:eastAsia="zh-CN" w:bidi="ar"/>
              </w:rPr>
              <w:t>41 841,42</w:t>
            </w:r>
          </w:p>
        </w:tc>
        <w:tc>
          <w:tcPr>
            <w:tcW w:w="1273"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2568D7B1">
            <w:pPr>
              <w:jc w:val="center"/>
              <w:textAlignment w:val="bottom"/>
              <w:rPr>
                <w:color w:val="000000"/>
                <w:sz w:val="20"/>
                <w:szCs w:val="20"/>
              </w:rPr>
            </w:pPr>
            <w:r>
              <w:rPr>
                <w:rFonts w:eastAsia="SimSun"/>
                <w:color w:val="000000"/>
                <w:sz w:val="20"/>
                <w:szCs w:val="20"/>
                <w:lang w:val="en-US" w:eastAsia="zh-CN" w:bidi="ar"/>
              </w:rPr>
              <w:t>31 881,49</w:t>
            </w:r>
          </w:p>
        </w:tc>
        <w:tc>
          <w:tcPr>
            <w:tcW w:w="114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0254FEE">
            <w:pPr>
              <w:jc w:val="center"/>
              <w:textAlignment w:val="bottom"/>
              <w:rPr>
                <w:color w:val="000000"/>
                <w:sz w:val="20"/>
                <w:szCs w:val="20"/>
              </w:rPr>
            </w:pPr>
            <w:r>
              <w:rPr>
                <w:rFonts w:eastAsia="SimSun"/>
                <w:color w:val="000000"/>
                <w:sz w:val="20"/>
                <w:szCs w:val="20"/>
                <w:lang w:val="en-US" w:eastAsia="zh-CN" w:bidi="ar"/>
              </w:rPr>
              <w:t>8 265,47</w:t>
            </w:r>
          </w:p>
        </w:tc>
        <w:tc>
          <w:tcPr>
            <w:tcW w:w="12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8057DE">
            <w:pPr>
              <w:jc w:val="center"/>
              <w:textAlignment w:val="bottom"/>
              <w:rPr>
                <w:color w:val="000000"/>
                <w:sz w:val="20"/>
                <w:szCs w:val="20"/>
              </w:rPr>
            </w:pPr>
            <w:r>
              <w:rPr>
                <w:rFonts w:eastAsia="SimSun"/>
                <w:color w:val="000000"/>
                <w:sz w:val="20"/>
                <w:szCs w:val="20"/>
                <w:lang w:val="en-US" w:eastAsia="zh-CN" w:bidi="ar"/>
              </w:rPr>
              <w:t xml:space="preserve"> 135,00</w:t>
            </w:r>
          </w:p>
        </w:tc>
      </w:tr>
      <w:tr w14:paraId="5C2C18CC">
        <w:tblPrEx>
          <w:tblCellMar>
            <w:top w:w="0" w:type="dxa"/>
            <w:left w:w="108" w:type="dxa"/>
            <w:bottom w:w="0" w:type="dxa"/>
            <w:right w:w="108" w:type="dxa"/>
          </w:tblCellMar>
        </w:tblPrEx>
        <w:trPr>
          <w:trHeight w:val="422" w:hRule="atLeast"/>
        </w:trPr>
        <w:tc>
          <w:tcPr>
            <w:tcW w:w="35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ED5D41">
            <w:pPr>
              <w:textAlignment w:val="center"/>
              <w:rPr>
                <w:color w:val="000000"/>
                <w:sz w:val="20"/>
                <w:szCs w:val="20"/>
              </w:rPr>
            </w:pPr>
            <w:r>
              <w:rPr>
                <w:rFonts w:eastAsia="SimSun"/>
                <w:color w:val="000000"/>
                <w:sz w:val="20"/>
                <w:szCs w:val="20"/>
                <w:lang w:eastAsia="zh-CN" w:bidi="ar"/>
              </w:rPr>
              <w:t>Единый налог на вмененный доход для отдельных видов деятельности</w:t>
            </w:r>
          </w:p>
        </w:tc>
        <w:tc>
          <w:tcPr>
            <w:tcW w:w="1252"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4C0BF208">
            <w:pPr>
              <w:jc w:val="center"/>
              <w:textAlignment w:val="bottom"/>
              <w:rPr>
                <w:color w:val="000000"/>
                <w:sz w:val="20"/>
                <w:szCs w:val="20"/>
              </w:rPr>
            </w:pPr>
            <w:r>
              <w:rPr>
                <w:rFonts w:eastAsia="SimSun"/>
                <w:color w:val="000000"/>
                <w:sz w:val="20"/>
                <w:szCs w:val="20"/>
                <w:lang w:val="en-US" w:eastAsia="zh-CN" w:bidi="ar"/>
              </w:rPr>
              <w:t xml:space="preserve">-188,71 </w:t>
            </w:r>
          </w:p>
        </w:tc>
        <w:tc>
          <w:tcPr>
            <w:tcW w:w="1161"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05276420">
            <w:pPr>
              <w:jc w:val="center"/>
              <w:textAlignment w:val="bottom"/>
              <w:rPr>
                <w:color w:val="000000"/>
                <w:sz w:val="20"/>
                <w:szCs w:val="20"/>
              </w:rPr>
            </w:pPr>
            <w:r>
              <w:rPr>
                <w:rFonts w:eastAsia="SimSun"/>
                <w:color w:val="000000"/>
                <w:sz w:val="20"/>
                <w:szCs w:val="20"/>
                <w:lang w:val="en-US" w:eastAsia="zh-CN" w:bidi="ar"/>
              </w:rPr>
              <w:t xml:space="preserve"> 33,88</w:t>
            </w:r>
          </w:p>
        </w:tc>
        <w:tc>
          <w:tcPr>
            <w:tcW w:w="1273"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49CAFFBB">
            <w:pPr>
              <w:jc w:val="center"/>
              <w:textAlignment w:val="bottom"/>
              <w:rPr>
                <w:color w:val="000000"/>
                <w:sz w:val="20"/>
                <w:szCs w:val="20"/>
              </w:rPr>
            </w:pPr>
            <w:r>
              <w:rPr>
                <w:rFonts w:eastAsia="SimSun"/>
                <w:color w:val="000000"/>
                <w:sz w:val="20"/>
                <w:szCs w:val="20"/>
                <w:lang w:val="en-US" w:eastAsia="zh-CN" w:bidi="ar"/>
              </w:rPr>
              <w:t xml:space="preserve"> 64,19</w:t>
            </w:r>
          </w:p>
        </w:tc>
        <w:tc>
          <w:tcPr>
            <w:tcW w:w="114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4999103">
            <w:pPr>
              <w:jc w:val="center"/>
              <w:textAlignment w:val="bottom"/>
              <w:rPr>
                <w:color w:val="000000"/>
                <w:sz w:val="20"/>
                <w:szCs w:val="20"/>
              </w:rPr>
            </w:pPr>
            <w:r>
              <w:rPr>
                <w:rFonts w:eastAsia="SimSun"/>
                <w:color w:val="000000"/>
                <w:sz w:val="20"/>
                <w:szCs w:val="20"/>
                <w:lang w:val="en-US" w:eastAsia="zh-CN" w:bidi="ar"/>
              </w:rPr>
              <w:t xml:space="preserve"> 252,90</w:t>
            </w:r>
          </w:p>
        </w:tc>
        <w:tc>
          <w:tcPr>
            <w:tcW w:w="12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9AB125">
            <w:pPr>
              <w:jc w:val="center"/>
              <w:textAlignment w:val="bottom"/>
              <w:rPr>
                <w:color w:val="000000"/>
                <w:sz w:val="20"/>
                <w:szCs w:val="20"/>
              </w:rPr>
            </w:pPr>
            <w:r>
              <w:rPr>
                <w:rFonts w:eastAsia="SimSun"/>
                <w:color w:val="000000"/>
                <w:sz w:val="20"/>
                <w:szCs w:val="20"/>
                <w:lang w:val="en-US" w:eastAsia="zh-CN" w:bidi="ar"/>
              </w:rPr>
              <w:t>- 34,02</w:t>
            </w:r>
          </w:p>
        </w:tc>
      </w:tr>
      <w:tr w14:paraId="2AC8117C">
        <w:tblPrEx>
          <w:tblCellMar>
            <w:top w:w="0" w:type="dxa"/>
            <w:left w:w="108" w:type="dxa"/>
            <w:bottom w:w="0" w:type="dxa"/>
            <w:right w:w="108" w:type="dxa"/>
          </w:tblCellMar>
        </w:tblPrEx>
        <w:trPr>
          <w:trHeight w:val="189" w:hRule="atLeast"/>
        </w:trPr>
        <w:tc>
          <w:tcPr>
            <w:tcW w:w="35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49F590">
            <w:pPr>
              <w:textAlignment w:val="center"/>
              <w:rPr>
                <w:color w:val="000000"/>
                <w:sz w:val="20"/>
                <w:szCs w:val="20"/>
              </w:rPr>
            </w:pPr>
            <w:r>
              <w:rPr>
                <w:rFonts w:eastAsia="SimSun"/>
                <w:color w:val="000000"/>
                <w:sz w:val="20"/>
                <w:szCs w:val="20"/>
                <w:lang w:val="en-US" w:eastAsia="zh-CN" w:bidi="ar"/>
              </w:rPr>
              <w:t>Единый сельскохозяйственный налог</w:t>
            </w:r>
          </w:p>
        </w:tc>
        <w:tc>
          <w:tcPr>
            <w:tcW w:w="1252"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11C7C06E">
            <w:pPr>
              <w:jc w:val="center"/>
              <w:textAlignment w:val="bottom"/>
              <w:rPr>
                <w:color w:val="000000"/>
                <w:sz w:val="20"/>
                <w:szCs w:val="20"/>
              </w:rPr>
            </w:pPr>
            <w:r>
              <w:rPr>
                <w:rFonts w:eastAsia="SimSun"/>
                <w:color w:val="000000"/>
                <w:sz w:val="20"/>
                <w:szCs w:val="20"/>
                <w:lang w:val="en-US" w:eastAsia="zh-CN" w:bidi="ar"/>
              </w:rPr>
              <w:t xml:space="preserve">2563,38 </w:t>
            </w:r>
          </w:p>
        </w:tc>
        <w:tc>
          <w:tcPr>
            <w:tcW w:w="1161"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1D7AA8E5">
            <w:pPr>
              <w:jc w:val="center"/>
              <w:textAlignment w:val="bottom"/>
              <w:rPr>
                <w:color w:val="000000"/>
                <w:sz w:val="20"/>
                <w:szCs w:val="20"/>
              </w:rPr>
            </w:pPr>
            <w:r>
              <w:rPr>
                <w:rFonts w:eastAsia="SimSun"/>
                <w:color w:val="000000"/>
                <w:sz w:val="20"/>
                <w:szCs w:val="20"/>
                <w:lang w:val="en-US" w:eastAsia="zh-CN" w:bidi="ar"/>
              </w:rPr>
              <w:t>2 784,88</w:t>
            </w:r>
          </w:p>
        </w:tc>
        <w:tc>
          <w:tcPr>
            <w:tcW w:w="1273"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0D1555E6">
            <w:pPr>
              <w:jc w:val="center"/>
              <w:textAlignment w:val="bottom"/>
              <w:rPr>
                <w:color w:val="000000"/>
                <w:sz w:val="20"/>
                <w:szCs w:val="20"/>
              </w:rPr>
            </w:pPr>
            <w:r>
              <w:rPr>
                <w:rFonts w:eastAsia="SimSun"/>
                <w:color w:val="000000"/>
                <w:sz w:val="20"/>
                <w:szCs w:val="20"/>
                <w:lang w:val="en-US" w:eastAsia="zh-CN" w:bidi="ar"/>
              </w:rPr>
              <w:t>3 222,29</w:t>
            </w:r>
          </w:p>
        </w:tc>
        <w:tc>
          <w:tcPr>
            <w:tcW w:w="114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8BB9CE7">
            <w:pPr>
              <w:jc w:val="center"/>
              <w:textAlignment w:val="bottom"/>
              <w:rPr>
                <w:color w:val="000000"/>
                <w:sz w:val="20"/>
                <w:szCs w:val="20"/>
              </w:rPr>
            </w:pPr>
            <w:r>
              <w:rPr>
                <w:rFonts w:eastAsia="SimSun"/>
                <w:color w:val="000000"/>
                <w:sz w:val="20"/>
                <w:szCs w:val="20"/>
                <w:lang w:val="en-US" w:eastAsia="zh-CN" w:bidi="ar"/>
              </w:rPr>
              <w:t xml:space="preserve"> 658,91</w:t>
            </w:r>
          </w:p>
        </w:tc>
        <w:tc>
          <w:tcPr>
            <w:tcW w:w="12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BB9D88">
            <w:pPr>
              <w:jc w:val="center"/>
              <w:textAlignment w:val="bottom"/>
              <w:rPr>
                <w:color w:val="000000"/>
                <w:sz w:val="20"/>
                <w:szCs w:val="20"/>
              </w:rPr>
            </w:pPr>
            <w:r>
              <w:rPr>
                <w:rFonts w:eastAsia="SimSun"/>
                <w:color w:val="000000"/>
                <w:sz w:val="20"/>
                <w:szCs w:val="20"/>
                <w:lang w:val="en-US" w:eastAsia="zh-CN" w:bidi="ar"/>
              </w:rPr>
              <w:t xml:space="preserve"> 125,70</w:t>
            </w:r>
          </w:p>
        </w:tc>
      </w:tr>
      <w:tr w14:paraId="3B51BE01">
        <w:tblPrEx>
          <w:tblCellMar>
            <w:top w:w="0" w:type="dxa"/>
            <w:left w:w="108" w:type="dxa"/>
            <w:bottom w:w="0" w:type="dxa"/>
            <w:right w:w="108" w:type="dxa"/>
          </w:tblCellMar>
        </w:tblPrEx>
        <w:trPr>
          <w:trHeight w:val="462" w:hRule="atLeast"/>
        </w:trPr>
        <w:tc>
          <w:tcPr>
            <w:tcW w:w="35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B557F6">
            <w:pPr>
              <w:textAlignment w:val="center"/>
              <w:rPr>
                <w:color w:val="000000"/>
                <w:sz w:val="20"/>
                <w:szCs w:val="20"/>
              </w:rPr>
            </w:pPr>
            <w:r>
              <w:rPr>
                <w:rFonts w:eastAsia="SimSun"/>
                <w:color w:val="000000"/>
                <w:sz w:val="20"/>
                <w:szCs w:val="20"/>
                <w:lang w:eastAsia="zh-CN" w:bidi="ar"/>
              </w:rPr>
              <w:t>Налог, взимаемый в связи с применением патентной системы налогообложения</w:t>
            </w:r>
          </w:p>
        </w:tc>
        <w:tc>
          <w:tcPr>
            <w:tcW w:w="1252"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2CAF5406">
            <w:pPr>
              <w:jc w:val="center"/>
              <w:textAlignment w:val="bottom"/>
              <w:rPr>
                <w:color w:val="000000"/>
                <w:sz w:val="20"/>
                <w:szCs w:val="20"/>
              </w:rPr>
            </w:pPr>
            <w:r>
              <w:rPr>
                <w:rFonts w:eastAsia="SimSun"/>
                <w:color w:val="000000"/>
                <w:sz w:val="20"/>
                <w:szCs w:val="20"/>
                <w:lang w:val="en-US" w:eastAsia="zh-CN" w:bidi="ar"/>
              </w:rPr>
              <w:t xml:space="preserve">7994,98 </w:t>
            </w:r>
          </w:p>
        </w:tc>
        <w:tc>
          <w:tcPr>
            <w:tcW w:w="1161"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2112ACF9">
            <w:pPr>
              <w:jc w:val="center"/>
              <w:textAlignment w:val="bottom"/>
              <w:rPr>
                <w:color w:val="000000"/>
                <w:sz w:val="20"/>
                <w:szCs w:val="20"/>
              </w:rPr>
            </w:pPr>
            <w:r>
              <w:rPr>
                <w:rFonts w:eastAsia="SimSun"/>
                <w:color w:val="000000"/>
                <w:sz w:val="20"/>
                <w:szCs w:val="20"/>
                <w:lang w:val="en-US" w:eastAsia="zh-CN" w:bidi="ar"/>
              </w:rPr>
              <w:t>14 326,00</w:t>
            </w:r>
          </w:p>
        </w:tc>
        <w:tc>
          <w:tcPr>
            <w:tcW w:w="1273"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7C00736A">
            <w:pPr>
              <w:jc w:val="center"/>
              <w:textAlignment w:val="bottom"/>
              <w:rPr>
                <w:color w:val="000000"/>
                <w:sz w:val="20"/>
                <w:szCs w:val="20"/>
              </w:rPr>
            </w:pPr>
            <w:r>
              <w:rPr>
                <w:rFonts w:eastAsia="SimSun"/>
                <w:color w:val="000000"/>
                <w:sz w:val="20"/>
                <w:szCs w:val="20"/>
                <w:lang w:val="en-US" w:eastAsia="zh-CN" w:bidi="ar"/>
              </w:rPr>
              <w:t>12 883,62</w:t>
            </w:r>
          </w:p>
        </w:tc>
        <w:tc>
          <w:tcPr>
            <w:tcW w:w="114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D725532">
            <w:pPr>
              <w:jc w:val="center"/>
              <w:textAlignment w:val="bottom"/>
              <w:rPr>
                <w:color w:val="000000"/>
                <w:sz w:val="20"/>
                <w:szCs w:val="20"/>
              </w:rPr>
            </w:pPr>
            <w:r>
              <w:rPr>
                <w:rFonts w:eastAsia="SimSun"/>
                <w:color w:val="000000"/>
                <w:sz w:val="20"/>
                <w:szCs w:val="20"/>
                <w:lang w:val="en-US" w:eastAsia="zh-CN" w:bidi="ar"/>
              </w:rPr>
              <w:t>4 888,64</w:t>
            </w:r>
          </w:p>
        </w:tc>
        <w:tc>
          <w:tcPr>
            <w:tcW w:w="12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859E8D">
            <w:pPr>
              <w:jc w:val="center"/>
              <w:textAlignment w:val="bottom"/>
              <w:rPr>
                <w:color w:val="000000"/>
                <w:sz w:val="20"/>
                <w:szCs w:val="20"/>
              </w:rPr>
            </w:pPr>
            <w:r>
              <w:rPr>
                <w:rFonts w:eastAsia="SimSun"/>
                <w:color w:val="000000"/>
                <w:sz w:val="20"/>
                <w:szCs w:val="20"/>
                <w:lang w:val="en-US" w:eastAsia="zh-CN" w:bidi="ar"/>
              </w:rPr>
              <w:t xml:space="preserve"> 161,15</w:t>
            </w:r>
          </w:p>
        </w:tc>
      </w:tr>
      <w:tr w14:paraId="6F507146">
        <w:tblPrEx>
          <w:tblCellMar>
            <w:top w:w="0" w:type="dxa"/>
            <w:left w:w="108" w:type="dxa"/>
            <w:bottom w:w="0" w:type="dxa"/>
            <w:right w:w="108" w:type="dxa"/>
          </w:tblCellMar>
        </w:tblPrEx>
        <w:trPr>
          <w:trHeight w:val="300" w:hRule="atLeast"/>
        </w:trPr>
        <w:tc>
          <w:tcPr>
            <w:tcW w:w="351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7271B83">
            <w:pPr>
              <w:textAlignment w:val="center"/>
              <w:rPr>
                <w:color w:val="000000"/>
                <w:sz w:val="20"/>
                <w:szCs w:val="20"/>
              </w:rPr>
            </w:pPr>
            <w:r>
              <w:rPr>
                <w:rFonts w:eastAsia="SimSun"/>
                <w:color w:val="000000"/>
                <w:sz w:val="20"/>
                <w:szCs w:val="20"/>
                <w:lang w:val="en-US" w:eastAsia="zh-CN" w:bidi="ar"/>
              </w:rPr>
              <w:t>ИТОГО</w:t>
            </w:r>
          </w:p>
        </w:tc>
        <w:tc>
          <w:tcPr>
            <w:tcW w:w="1252"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75B7F623">
            <w:pPr>
              <w:jc w:val="center"/>
              <w:textAlignment w:val="bottom"/>
              <w:rPr>
                <w:color w:val="000000"/>
                <w:sz w:val="20"/>
                <w:szCs w:val="20"/>
              </w:rPr>
            </w:pPr>
            <w:r>
              <w:rPr>
                <w:rFonts w:eastAsia="SimSun"/>
                <w:color w:val="000000"/>
                <w:sz w:val="20"/>
                <w:szCs w:val="20"/>
                <w:lang w:val="en-US" w:eastAsia="zh-CN" w:bidi="ar"/>
              </w:rPr>
              <w:t>33 985,68</w:t>
            </w:r>
          </w:p>
        </w:tc>
        <w:tc>
          <w:tcPr>
            <w:tcW w:w="1161"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07D95801">
            <w:pPr>
              <w:jc w:val="center"/>
              <w:textAlignment w:val="bottom"/>
              <w:rPr>
                <w:color w:val="000000"/>
                <w:sz w:val="20"/>
                <w:szCs w:val="20"/>
              </w:rPr>
            </w:pPr>
            <w:r>
              <w:rPr>
                <w:rFonts w:eastAsia="SimSun"/>
                <w:color w:val="000000"/>
                <w:sz w:val="20"/>
                <w:szCs w:val="20"/>
                <w:lang w:val="en-US" w:eastAsia="zh-CN" w:bidi="ar"/>
              </w:rPr>
              <w:t>58 986,18</w:t>
            </w:r>
          </w:p>
        </w:tc>
        <w:tc>
          <w:tcPr>
            <w:tcW w:w="1273" w:type="dxa"/>
            <w:tcBorders>
              <w:top w:val="single" w:color="000000" w:sz="2" w:space="0"/>
              <w:left w:val="single" w:color="000000" w:sz="2" w:space="0"/>
              <w:bottom w:val="single" w:color="000000" w:sz="2" w:space="0"/>
              <w:right w:val="single" w:color="000000" w:sz="2" w:space="0"/>
            </w:tcBorders>
            <w:shd w:val="clear" w:color="auto" w:fill="FFFFFF"/>
            <w:noWrap/>
            <w:vAlign w:val="bottom"/>
          </w:tcPr>
          <w:p w14:paraId="1BAA55C3">
            <w:pPr>
              <w:jc w:val="center"/>
              <w:textAlignment w:val="bottom"/>
              <w:rPr>
                <w:color w:val="000000"/>
                <w:sz w:val="20"/>
                <w:szCs w:val="20"/>
              </w:rPr>
            </w:pPr>
            <w:r>
              <w:rPr>
                <w:rFonts w:eastAsia="SimSun"/>
                <w:color w:val="000000"/>
                <w:sz w:val="20"/>
                <w:szCs w:val="20"/>
                <w:lang w:val="en-US" w:eastAsia="zh-CN" w:bidi="ar"/>
              </w:rPr>
              <w:t>48 051,60</w:t>
            </w:r>
          </w:p>
        </w:tc>
        <w:tc>
          <w:tcPr>
            <w:tcW w:w="114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E5943CC">
            <w:pPr>
              <w:jc w:val="center"/>
              <w:textAlignment w:val="bottom"/>
              <w:rPr>
                <w:color w:val="000000"/>
                <w:sz w:val="20"/>
                <w:szCs w:val="20"/>
              </w:rPr>
            </w:pPr>
            <w:r>
              <w:rPr>
                <w:rFonts w:eastAsia="SimSun"/>
                <w:color w:val="000000"/>
                <w:sz w:val="20"/>
                <w:szCs w:val="20"/>
                <w:lang w:val="en-US" w:eastAsia="zh-CN" w:bidi="ar"/>
              </w:rPr>
              <w:t>14 065,92</w:t>
            </w:r>
          </w:p>
        </w:tc>
        <w:tc>
          <w:tcPr>
            <w:tcW w:w="122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5617A2">
            <w:pPr>
              <w:jc w:val="center"/>
              <w:textAlignment w:val="bottom"/>
              <w:rPr>
                <w:color w:val="000000"/>
                <w:sz w:val="20"/>
                <w:szCs w:val="20"/>
              </w:rPr>
            </w:pPr>
            <w:r>
              <w:rPr>
                <w:rFonts w:eastAsia="SimSun"/>
                <w:color w:val="000000"/>
                <w:sz w:val="20"/>
                <w:szCs w:val="20"/>
                <w:lang w:val="en-US" w:eastAsia="zh-CN" w:bidi="ar"/>
              </w:rPr>
              <w:t xml:space="preserve"> 141,39</w:t>
            </w:r>
          </w:p>
        </w:tc>
      </w:tr>
    </w:tbl>
    <w:p w14:paraId="08811CAF">
      <w:pPr>
        <w:ind w:firstLine="567"/>
        <w:jc w:val="right"/>
      </w:pPr>
    </w:p>
    <w:p w14:paraId="6B08625A">
      <w:pPr>
        <w:ind w:firstLine="567"/>
        <w:jc w:val="both"/>
        <w:rPr>
          <w:bCs/>
        </w:rPr>
      </w:pPr>
      <w:r>
        <w:rPr>
          <w:bCs/>
        </w:rPr>
        <w:t>Динамика налоговых поступлений за последние 3 года (на 1 июля каждого года) представлена на графике:</w:t>
      </w:r>
    </w:p>
    <w:p w14:paraId="486F2CFC">
      <w:pPr>
        <w:jc w:val="both"/>
        <w:rPr>
          <w:bCs/>
        </w:rPr>
      </w:pPr>
      <w:r>
        <w:drawing>
          <wp:inline distT="0" distB="0" distL="114300" distR="114300">
            <wp:extent cx="5999480" cy="1785620"/>
            <wp:effectExtent l="4445" t="4445" r="15875" b="19685"/>
            <wp:docPr id="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D6A4257">
      <w:pPr>
        <w:ind w:firstLine="567"/>
        <w:jc w:val="both"/>
        <w:rPr>
          <w:bCs/>
        </w:rPr>
      </w:pPr>
    </w:p>
    <w:p w14:paraId="027B378C">
      <w:pPr>
        <w:ind w:firstLine="567"/>
        <w:jc w:val="both"/>
      </w:pPr>
      <w:r>
        <w:rPr>
          <w:b/>
        </w:rPr>
        <w:t>Госпошлина (4647,91 тыс. руб.) -</w:t>
      </w:r>
      <w:r>
        <w:t xml:space="preserve"> в общей сумме </w:t>
      </w:r>
      <w:r>
        <w:rPr>
          <w:bCs/>
        </w:rPr>
        <w:t>доходов д</w:t>
      </w:r>
      <w:r>
        <w:t>оля госпошлины составила 1,8%. В сравнении с анализируемым периодом 2023 года сумма поступлений увеличилась на 209,72 тыс. руб., или на 4,73%:</w:t>
      </w:r>
    </w:p>
    <w:p w14:paraId="22976A5F">
      <w:r>
        <w:t>Изменение поступлений по видам госпошлин представлено в таблице №4.</w:t>
      </w:r>
    </w:p>
    <w:p w14:paraId="054E9601">
      <w:pPr>
        <w:ind w:firstLine="567"/>
        <w:jc w:val="right"/>
      </w:pPr>
      <w:r>
        <w:t xml:space="preserve"> Таблица №4</w:t>
      </w:r>
    </w:p>
    <w:tbl>
      <w:tblPr>
        <w:tblStyle w:val="3"/>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1361"/>
        <w:gridCol w:w="1248"/>
        <w:gridCol w:w="1246"/>
        <w:gridCol w:w="1154"/>
        <w:gridCol w:w="1502"/>
      </w:tblGrid>
      <w:tr w14:paraId="3191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3152" w:type="dxa"/>
            <w:shd w:val="clear" w:color="auto" w:fill="auto"/>
            <w:noWrap/>
            <w:vAlign w:val="center"/>
          </w:tcPr>
          <w:p w14:paraId="3D0EE085">
            <w:pPr>
              <w:jc w:val="center"/>
              <w:rPr>
                <w:color w:val="000000"/>
                <w:sz w:val="20"/>
                <w:szCs w:val="20"/>
              </w:rPr>
            </w:pPr>
            <w:r>
              <w:rPr>
                <w:color w:val="000000"/>
                <w:sz w:val="20"/>
                <w:szCs w:val="20"/>
              </w:rPr>
              <w:t>Наименование</w:t>
            </w:r>
          </w:p>
        </w:tc>
        <w:tc>
          <w:tcPr>
            <w:tcW w:w="1361" w:type="dxa"/>
            <w:shd w:val="clear" w:color="auto" w:fill="auto"/>
            <w:noWrap/>
            <w:vAlign w:val="center"/>
          </w:tcPr>
          <w:p w14:paraId="3ED9322C">
            <w:pPr>
              <w:jc w:val="center"/>
              <w:rPr>
                <w:color w:val="000000"/>
                <w:sz w:val="20"/>
                <w:szCs w:val="20"/>
              </w:rPr>
            </w:pPr>
            <w:r>
              <w:rPr>
                <w:color w:val="000000"/>
                <w:sz w:val="20"/>
                <w:szCs w:val="20"/>
              </w:rPr>
              <w:t>Исполнение бюджета на 01.07.2023г</w:t>
            </w:r>
          </w:p>
        </w:tc>
        <w:tc>
          <w:tcPr>
            <w:tcW w:w="1248" w:type="dxa"/>
            <w:shd w:val="clear" w:color="auto" w:fill="auto"/>
            <w:noWrap/>
            <w:vAlign w:val="center"/>
          </w:tcPr>
          <w:p w14:paraId="17D7A9A0">
            <w:pPr>
              <w:jc w:val="center"/>
              <w:rPr>
                <w:color w:val="000000"/>
                <w:sz w:val="20"/>
                <w:szCs w:val="20"/>
              </w:rPr>
            </w:pPr>
            <w:r>
              <w:rPr>
                <w:color w:val="000000"/>
                <w:sz w:val="20"/>
                <w:szCs w:val="20"/>
              </w:rPr>
              <w:t>Прогноз на 2024 год</w:t>
            </w:r>
          </w:p>
        </w:tc>
        <w:tc>
          <w:tcPr>
            <w:tcW w:w="1246" w:type="dxa"/>
            <w:shd w:val="clear" w:color="auto" w:fill="auto"/>
            <w:noWrap/>
            <w:vAlign w:val="center"/>
          </w:tcPr>
          <w:p w14:paraId="7F03E5A7">
            <w:pPr>
              <w:jc w:val="center"/>
              <w:rPr>
                <w:color w:val="000000"/>
                <w:sz w:val="20"/>
                <w:szCs w:val="20"/>
              </w:rPr>
            </w:pPr>
            <w:r>
              <w:rPr>
                <w:color w:val="000000"/>
                <w:sz w:val="20"/>
                <w:szCs w:val="20"/>
              </w:rPr>
              <w:t>Исполнение на 01.07.2024г</w:t>
            </w:r>
          </w:p>
        </w:tc>
        <w:tc>
          <w:tcPr>
            <w:tcW w:w="1145" w:type="dxa"/>
            <w:shd w:val="clear" w:color="000000" w:fill="FFFFFF"/>
            <w:noWrap/>
            <w:vAlign w:val="center"/>
          </w:tcPr>
          <w:p w14:paraId="05A0F77B">
            <w:pPr>
              <w:jc w:val="center"/>
              <w:rPr>
                <w:color w:val="000000"/>
                <w:sz w:val="20"/>
                <w:szCs w:val="20"/>
              </w:rPr>
            </w:pPr>
            <w:r>
              <w:rPr>
                <w:color w:val="000000"/>
                <w:sz w:val="20"/>
                <w:szCs w:val="20"/>
              </w:rPr>
              <w:t>Изменение</w:t>
            </w:r>
          </w:p>
          <w:p w14:paraId="6C2C1475">
            <w:pPr>
              <w:jc w:val="center"/>
              <w:rPr>
                <w:color w:val="000000"/>
                <w:sz w:val="20"/>
                <w:szCs w:val="20"/>
              </w:rPr>
            </w:pPr>
            <w:r>
              <w:rPr>
                <w:color w:val="000000"/>
                <w:sz w:val="20"/>
                <w:szCs w:val="20"/>
              </w:rPr>
              <w:t>(ст.4-ст2)</w:t>
            </w:r>
          </w:p>
        </w:tc>
        <w:tc>
          <w:tcPr>
            <w:tcW w:w="1502" w:type="dxa"/>
            <w:shd w:val="clear" w:color="auto" w:fill="auto"/>
            <w:vAlign w:val="center"/>
          </w:tcPr>
          <w:p w14:paraId="69489242">
            <w:pPr>
              <w:jc w:val="center"/>
              <w:rPr>
                <w:color w:val="000000"/>
                <w:sz w:val="20"/>
                <w:szCs w:val="20"/>
              </w:rPr>
            </w:pPr>
            <w:r>
              <w:rPr>
                <w:color w:val="000000"/>
                <w:sz w:val="20"/>
                <w:szCs w:val="20"/>
              </w:rPr>
              <w:t>Темпы роста 2024 к 2023 (%) гр.4/гр.2*100</w:t>
            </w:r>
          </w:p>
        </w:tc>
      </w:tr>
      <w:tr w14:paraId="42BF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3152" w:type="dxa"/>
            <w:shd w:val="clear" w:color="auto" w:fill="auto"/>
            <w:noWrap/>
            <w:vAlign w:val="center"/>
          </w:tcPr>
          <w:p w14:paraId="53D0A10B">
            <w:pPr>
              <w:jc w:val="center"/>
              <w:rPr>
                <w:color w:val="000000"/>
                <w:sz w:val="20"/>
                <w:szCs w:val="20"/>
              </w:rPr>
            </w:pPr>
            <w:r>
              <w:rPr>
                <w:color w:val="000000"/>
                <w:sz w:val="20"/>
                <w:szCs w:val="20"/>
              </w:rPr>
              <w:t>1</w:t>
            </w:r>
          </w:p>
        </w:tc>
        <w:tc>
          <w:tcPr>
            <w:tcW w:w="1361" w:type="dxa"/>
            <w:shd w:val="clear" w:color="auto" w:fill="auto"/>
            <w:noWrap/>
            <w:vAlign w:val="center"/>
          </w:tcPr>
          <w:p w14:paraId="34BE8952">
            <w:pPr>
              <w:jc w:val="center"/>
              <w:rPr>
                <w:color w:val="000000"/>
                <w:sz w:val="20"/>
                <w:szCs w:val="20"/>
              </w:rPr>
            </w:pPr>
            <w:r>
              <w:rPr>
                <w:color w:val="000000"/>
                <w:sz w:val="20"/>
                <w:szCs w:val="20"/>
              </w:rPr>
              <w:t>2</w:t>
            </w:r>
          </w:p>
        </w:tc>
        <w:tc>
          <w:tcPr>
            <w:tcW w:w="1248" w:type="dxa"/>
            <w:shd w:val="clear" w:color="auto" w:fill="auto"/>
            <w:noWrap/>
            <w:vAlign w:val="center"/>
          </w:tcPr>
          <w:p w14:paraId="122C81C8">
            <w:pPr>
              <w:jc w:val="center"/>
              <w:rPr>
                <w:color w:val="000000"/>
                <w:sz w:val="20"/>
                <w:szCs w:val="20"/>
              </w:rPr>
            </w:pPr>
            <w:r>
              <w:rPr>
                <w:color w:val="000000"/>
                <w:sz w:val="20"/>
                <w:szCs w:val="20"/>
              </w:rPr>
              <w:t>3</w:t>
            </w:r>
          </w:p>
        </w:tc>
        <w:tc>
          <w:tcPr>
            <w:tcW w:w="1246" w:type="dxa"/>
            <w:shd w:val="clear" w:color="auto" w:fill="auto"/>
            <w:noWrap/>
            <w:vAlign w:val="center"/>
          </w:tcPr>
          <w:p w14:paraId="5CB66ACD">
            <w:pPr>
              <w:jc w:val="center"/>
              <w:rPr>
                <w:color w:val="000000"/>
                <w:sz w:val="20"/>
                <w:szCs w:val="20"/>
              </w:rPr>
            </w:pPr>
            <w:r>
              <w:rPr>
                <w:color w:val="000000"/>
                <w:sz w:val="20"/>
                <w:szCs w:val="20"/>
              </w:rPr>
              <w:t>4</w:t>
            </w:r>
          </w:p>
        </w:tc>
        <w:tc>
          <w:tcPr>
            <w:tcW w:w="1145" w:type="dxa"/>
            <w:shd w:val="clear" w:color="auto" w:fill="auto"/>
            <w:noWrap/>
            <w:vAlign w:val="center"/>
          </w:tcPr>
          <w:p w14:paraId="1FF5D85D">
            <w:pPr>
              <w:jc w:val="center"/>
              <w:rPr>
                <w:color w:val="000000"/>
                <w:sz w:val="20"/>
                <w:szCs w:val="20"/>
              </w:rPr>
            </w:pPr>
            <w:r>
              <w:rPr>
                <w:color w:val="000000"/>
                <w:sz w:val="20"/>
                <w:szCs w:val="20"/>
              </w:rPr>
              <w:t>5</w:t>
            </w:r>
          </w:p>
        </w:tc>
        <w:tc>
          <w:tcPr>
            <w:tcW w:w="1502" w:type="dxa"/>
            <w:shd w:val="clear" w:color="auto" w:fill="auto"/>
            <w:noWrap/>
            <w:vAlign w:val="bottom"/>
          </w:tcPr>
          <w:p w14:paraId="41F4EB12">
            <w:pPr>
              <w:rPr>
                <w:rFonts w:ascii="Calibri" w:hAnsi="Calibri"/>
                <w:color w:val="000000"/>
                <w:sz w:val="20"/>
                <w:szCs w:val="20"/>
              </w:rPr>
            </w:pPr>
            <w:r>
              <w:rPr>
                <w:rFonts w:ascii="Calibri" w:hAnsi="Calibri"/>
                <w:color w:val="000000"/>
                <w:sz w:val="20"/>
                <w:szCs w:val="20"/>
              </w:rPr>
              <w:t> </w:t>
            </w:r>
          </w:p>
        </w:tc>
      </w:tr>
      <w:tr w14:paraId="5D65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152" w:type="dxa"/>
            <w:shd w:val="clear" w:color="auto" w:fill="auto"/>
            <w:vAlign w:val="center"/>
          </w:tcPr>
          <w:p w14:paraId="0FA968A0">
            <w:pPr>
              <w:rPr>
                <w:color w:val="000000"/>
                <w:sz w:val="20"/>
                <w:szCs w:val="20"/>
              </w:rPr>
            </w:pPr>
            <w:r>
              <w:rPr>
                <w:sz w:val="20"/>
                <w:szCs w:val="20"/>
              </w:rPr>
              <w:t>Госпошлина по делам, рассматриваемым в судах общей юрисдикции и мировыми судьями</w:t>
            </w:r>
          </w:p>
        </w:tc>
        <w:tc>
          <w:tcPr>
            <w:tcW w:w="1361" w:type="dxa"/>
            <w:shd w:val="clear" w:color="000000" w:fill="FFFFFF"/>
            <w:noWrap/>
            <w:vAlign w:val="center"/>
          </w:tcPr>
          <w:p w14:paraId="61C98BA2">
            <w:pPr>
              <w:jc w:val="center"/>
              <w:textAlignment w:val="center"/>
              <w:rPr>
                <w:color w:val="000000"/>
                <w:sz w:val="20"/>
                <w:szCs w:val="20"/>
              </w:rPr>
            </w:pPr>
            <w:r>
              <w:rPr>
                <w:rFonts w:eastAsia="SimSun"/>
                <w:color w:val="000000"/>
                <w:sz w:val="20"/>
                <w:szCs w:val="20"/>
                <w:lang w:val="en-US" w:eastAsia="zh-CN" w:bidi="ar"/>
              </w:rPr>
              <w:t>4 433,19</w:t>
            </w:r>
          </w:p>
        </w:tc>
        <w:tc>
          <w:tcPr>
            <w:tcW w:w="1248" w:type="dxa"/>
            <w:shd w:val="clear" w:color="000000" w:fill="FFFFFF"/>
            <w:noWrap/>
            <w:vAlign w:val="center"/>
          </w:tcPr>
          <w:p w14:paraId="77574874">
            <w:pPr>
              <w:jc w:val="center"/>
              <w:textAlignment w:val="center"/>
              <w:rPr>
                <w:color w:val="000000"/>
                <w:sz w:val="20"/>
                <w:szCs w:val="20"/>
              </w:rPr>
            </w:pPr>
            <w:r>
              <w:rPr>
                <w:rFonts w:eastAsia="SimSun"/>
                <w:color w:val="000000"/>
                <w:sz w:val="20"/>
                <w:szCs w:val="20"/>
                <w:lang w:val="en-US" w:eastAsia="zh-CN" w:bidi="ar"/>
              </w:rPr>
              <w:t>11 421,00</w:t>
            </w:r>
          </w:p>
        </w:tc>
        <w:tc>
          <w:tcPr>
            <w:tcW w:w="1246" w:type="dxa"/>
            <w:shd w:val="clear" w:color="000000" w:fill="FFFFFF"/>
            <w:noWrap/>
            <w:vAlign w:val="center"/>
          </w:tcPr>
          <w:p w14:paraId="0B62CA39">
            <w:pPr>
              <w:jc w:val="center"/>
              <w:textAlignment w:val="center"/>
              <w:rPr>
                <w:color w:val="000000"/>
                <w:sz w:val="20"/>
                <w:szCs w:val="20"/>
              </w:rPr>
            </w:pPr>
            <w:r>
              <w:rPr>
                <w:rFonts w:eastAsia="SimSun"/>
                <w:color w:val="000000"/>
                <w:sz w:val="20"/>
                <w:szCs w:val="20"/>
                <w:lang w:val="en-US" w:eastAsia="zh-CN" w:bidi="ar"/>
              </w:rPr>
              <w:t>4 612,91</w:t>
            </w:r>
          </w:p>
        </w:tc>
        <w:tc>
          <w:tcPr>
            <w:tcW w:w="1145" w:type="dxa"/>
            <w:shd w:val="clear" w:color="auto" w:fill="auto"/>
            <w:vAlign w:val="center"/>
          </w:tcPr>
          <w:p w14:paraId="782671E6">
            <w:pPr>
              <w:jc w:val="center"/>
              <w:textAlignment w:val="center"/>
              <w:rPr>
                <w:color w:val="000000"/>
                <w:sz w:val="20"/>
                <w:szCs w:val="20"/>
              </w:rPr>
            </w:pPr>
            <w:r>
              <w:rPr>
                <w:rFonts w:eastAsia="SimSun"/>
                <w:color w:val="000000"/>
                <w:sz w:val="20"/>
                <w:szCs w:val="20"/>
                <w:lang w:val="en-US" w:eastAsia="zh-CN" w:bidi="ar"/>
              </w:rPr>
              <w:t xml:space="preserve"> 179,72</w:t>
            </w:r>
          </w:p>
        </w:tc>
        <w:tc>
          <w:tcPr>
            <w:tcW w:w="1502" w:type="dxa"/>
            <w:shd w:val="clear" w:color="auto" w:fill="auto"/>
            <w:noWrap/>
            <w:vAlign w:val="center"/>
          </w:tcPr>
          <w:p w14:paraId="759FDCF5">
            <w:pPr>
              <w:jc w:val="center"/>
              <w:textAlignment w:val="center"/>
              <w:rPr>
                <w:color w:val="000000"/>
                <w:sz w:val="20"/>
                <w:szCs w:val="20"/>
              </w:rPr>
            </w:pPr>
            <w:r>
              <w:rPr>
                <w:rFonts w:eastAsia="SimSun"/>
                <w:color w:val="000000"/>
                <w:sz w:val="20"/>
                <w:szCs w:val="20"/>
                <w:lang w:val="en-US" w:eastAsia="zh-CN" w:bidi="ar"/>
              </w:rPr>
              <w:t>104,05</w:t>
            </w:r>
          </w:p>
        </w:tc>
      </w:tr>
      <w:tr w14:paraId="659E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152" w:type="dxa"/>
            <w:shd w:val="clear" w:color="auto" w:fill="auto"/>
            <w:vAlign w:val="center"/>
          </w:tcPr>
          <w:p w14:paraId="55CA4C35">
            <w:pPr>
              <w:rPr>
                <w:color w:val="000000"/>
                <w:sz w:val="20"/>
                <w:szCs w:val="20"/>
              </w:rPr>
            </w:pPr>
            <w:r>
              <w:rPr>
                <w:sz w:val="20"/>
                <w:szCs w:val="20"/>
              </w:rPr>
              <w:t>Государственная пошлина за выдачу разрешений на установку рекламных конструкций</w:t>
            </w:r>
          </w:p>
        </w:tc>
        <w:tc>
          <w:tcPr>
            <w:tcW w:w="1361" w:type="dxa"/>
            <w:shd w:val="clear" w:color="000000" w:fill="FFFFFF"/>
            <w:noWrap/>
            <w:vAlign w:val="center"/>
          </w:tcPr>
          <w:p w14:paraId="490B4F04">
            <w:pPr>
              <w:jc w:val="center"/>
              <w:textAlignment w:val="center"/>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5,00</w:t>
            </w:r>
          </w:p>
        </w:tc>
        <w:tc>
          <w:tcPr>
            <w:tcW w:w="1248" w:type="dxa"/>
            <w:shd w:val="clear" w:color="000000" w:fill="FFFFFF"/>
            <w:noWrap/>
            <w:vAlign w:val="center"/>
          </w:tcPr>
          <w:p w14:paraId="1FA06793">
            <w:pPr>
              <w:jc w:val="center"/>
              <w:textAlignment w:val="center"/>
              <w:rPr>
                <w:color w:val="000000"/>
                <w:sz w:val="20"/>
                <w:szCs w:val="20"/>
              </w:rPr>
            </w:pPr>
            <w:r>
              <w:rPr>
                <w:rFonts w:eastAsia="SimSun"/>
                <w:color w:val="000000"/>
                <w:sz w:val="20"/>
                <w:szCs w:val="20"/>
                <w:lang w:val="en-US" w:eastAsia="zh-CN" w:bidi="ar"/>
              </w:rPr>
              <w:t xml:space="preserve"> 30,00</w:t>
            </w:r>
          </w:p>
        </w:tc>
        <w:tc>
          <w:tcPr>
            <w:tcW w:w="1246" w:type="dxa"/>
            <w:shd w:val="clear" w:color="000000" w:fill="FFFFFF"/>
            <w:noWrap/>
            <w:vAlign w:val="center"/>
          </w:tcPr>
          <w:p w14:paraId="70810914">
            <w:pPr>
              <w:jc w:val="center"/>
              <w:textAlignment w:val="center"/>
              <w:rPr>
                <w:color w:val="000000"/>
                <w:sz w:val="20"/>
                <w:szCs w:val="20"/>
              </w:rPr>
            </w:pPr>
            <w:r>
              <w:rPr>
                <w:rFonts w:eastAsia="SimSun"/>
                <w:color w:val="000000"/>
                <w:sz w:val="20"/>
                <w:szCs w:val="20"/>
                <w:lang w:val="en-US" w:eastAsia="zh-CN" w:bidi="ar"/>
              </w:rPr>
              <w:t xml:space="preserve"> 35,00</w:t>
            </w:r>
          </w:p>
        </w:tc>
        <w:tc>
          <w:tcPr>
            <w:tcW w:w="1145" w:type="dxa"/>
            <w:shd w:val="clear" w:color="auto" w:fill="auto"/>
            <w:vAlign w:val="center"/>
          </w:tcPr>
          <w:p w14:paraId="350696DD">
            <w:pPr>
              <w:jc w:val="center"/>
              <w:textAlignment w:val="center"/>
              <w:rPr>
                <w:color w:val="000000"/>
                <w:sz w:val="20"/>
                <w:szCs w:val="20"/>
              </w:rPr>
            </w:pPr>
            <w:r>
              <w:rPr>
                <w:rFonts w:eastAsia="SimSun"/>
                <w:color w:val="000000"/>
                <w:sz w:val="20"/>
                <w:szCs w:val="20"/>
                <w:lang w:val="en-US" w:eastAsia="zh-CN" w:bidi="ar"/>
              </w:rPr>
              <w:t xml:space="preserve"> 30,00</w:t>
            </w:r>
          </w:p>
        </w:tc>
        <w:tc>
          <w:tcPr>
            <w:tcW w:w="1502" w:type="dxa"/>
            <w:shd w:val="clear" w:color="auto" w:fill="auto"/>
            <w:noWrap/>
            <w:vAlign w:val="center"/>
          </w:tcPr>
          <w:p w14:paraId="4A4839F1">
            <w:pPr>
              <w:jc w:val="center"/>
              <w:textAlignment w:val="center"/>
              <w:rPr>
                <w:color w:val="000000"/>
                <w:sz w:val="20"/>
                <w:szCs w:val="20"/>
              </w:rPr>
            </w:pPr>
            <w:r>
              <w:rPr>
                <w:rFonts w:eastAsia="SimSun"/>
                <w:color w:val="000000"/>
                <w:sz w:val="20"/>
                <w:szCs w:val="20"/>
                <w:lang w:val="en-US" w:eastAsia="zh-CN" w:bidi="ar"/>
              </w:rPr>
              <w:t>700,00</w:t>
            </w:r>
          </w:p>
        </w:tc>
      </w:tr>
      <w:tr w14:paraId="2AE3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152" w:type="dxa"/>
            <w:shd w:val="clear" w:color="auto" w:fill="auto"/>
            <w:vAlign w:val="center"/>
          </w:tcPr>
          <w:p w14:paraId="270853A0">
            <w:pPr>
              <w:rPr>
                <w:color w:val="000000"/>
                <w:sz w:val="20"/>
                <w:szCs w:val="20"/>
              </w:rPr>
            </w:pPr>
            <w:r>
              <w:rPr>
                <w:color w:val="000000"/>
                <w:sz w:val="20"/>
                <w:szCs w:val="20"/>
              </w:rPr>
              <w:t>ИТОГО</w:t>
            </w:r>
          </w:p>
        </w:tc>
        <w:tc>
          <w:tcPr>
            <w:tcW w:w="1361" w:type="dxa"/>
            <w:shd w:val="clear" w:color="000000" w:fill="FFFFFF"/>
            <w:noWrap/>
            <w:vAlign w:val="center"/>
          </w:tcPr>
          <w:p w14:paraId="0ABE8422">
            <w:pPr>
              <w:jc w:val="center"/>
              <w:textAlignment w:val="center"/>
              <w:rPr>
                <w:color w:val="000000"/>
                <w:sz w:val="20"/>
                <w:szCs w:val="20"/>
              </w:rPr>
            </w:pPr>
            <w:r>
              <w:rPr>
                <w:rFonts w:eastAsia="SimSun"/>
                <w:color w:val="000000"/>
                <w:sz w:val="20"/>
                <w:szCs w:val="20"/>
                <w:lang w:val="en-US" w:eastAsia="zh-CN" w:bidi="ar"/>
              </w:rPr>
              <w:t>4 438,19</w:t>
            </w:r>
          </w:p>
        </w:tc>
        <w:tc>
          <w:tcPr>
            <w:tcW w:w="1248" w:type="dxa"/>
            <w:shd w:val="clear" w:color="000000" w:fill="FFFFFF"/>
            <w:noWrap/>
            <w:vAlign w:val="center"/>
          </w:tcPr>
          <w:p w14:paraId="58F64AFA">
            <w:pPr>
              <w:jc w:val="center"/>
              <w:textAlignment w:val="center"/>
              <w:rPr>
                <w:color w:val="000000"/>
                <w:sz w:val="20"/>
                <w:szCs w:val="20"/>
              </w:rPr>
            </w:pPr>
            <w:r>
              <w:rPr>
                <w:rFonts w:eastAsia="SimSun"/>
                <w:color w:val="000000"/>
                <w:sz w:val="20"/>
                <w:szCs w:val="20"/>
                <w:lang w:val="en-US" w:eastAsia="zh-CN" w:bidi="ar"/>
              </w:rPr>
              <w:t>11 451,00</w:t>
            </w:r>
          </w:p>
        </w:tc>
        <w:tc>
          <w:tcPr>
            <w:tcW w:w="1246" w:type="dxa"/>
            <w:shd w:val="clear" w:color="000000" w:fill="FFFFFF"/>
            <w:noWrap/>
            <w:vAlign w:val="center"/>
          </w:tcPr>
          <w:p w14:paraId="25DB7B72">
            <w:pPr>
              <w:jc w:val="center"/>
              <w:textAlignment w:val="center"/>
              <w:rPr>
                <w:color w:val="000000"/>
                <w:sz w:val="20"/>
                <w:szCs w:val="20"/>
              </w:rPr>
            </w:pPr>
            <w:r>
              <w:rPr>
                <w:rFonts w:eastAsia="SimSun"/>
                <w:color w:val="000000"/>
                <w:sz w:val="20"/>
                <w:szCs w:val="20"/>
                <w:lang w:val="en-US" w:eastAsia="zh-CN" w:bidi="ar"/>
              </w:rPr>
              <w:t>4 647,91</w:t>
            </w:r>
          </w:p>
        </w:tc>
        <w:tc>
          <w:tcPr>
            <w:tcW w:w="1145" w:type="dxa"/>
            <w:shd w:val="clear" w:color="auto" w:fill="auto"/>
            <w:vAlign w:val="center"/>
          </w:tcPr>
          <w:p w14:paraId="01130458">
            <w:pPr>
              <w:jc w:val="center"/>
              <w:textAlignment w:val="center"/>
              <w:rPr>
                <w:color w:val="000000"/>
                <w:sz w:val="20"/>
                <w:szCs w:val="20"/>
              </w:rPr>
            </w:pPr>
            <w:r>
              <w:rPr>
                <w:rFonts w:eastAsia="SimSun"/>
                <w:color w:val="000000"/>
                <w:sz w:val="20"/>
                <w:szCs w:val="20"/>
                <w:lang w:val="en-US" w:eastAsia="zh-CN" w:bidi="ar"/>
              </w:rPr>
              <w:t xml:space="preserve"> 209,72</w:t>
            </w:r>
          </w:p>
        </w:tc>
        <w:tc>
          <w:tcPr>
            <w:tcW w:w="1502" w:type="dxa"/>
            <w:shd w:val="clear" w:color="auto" w:fill="auto"/>
            <w:noWrap/>
            <w:vAlign w:val="center"/>
          </w:tcPr>
          <w:p w14:paraId="36C45CC4">
            <w:pPr>
              <w:jc w:val="center"/>
              <w:textAlignment w:val="center"/>
              <w:rPr>
                <w:color w:val="000000"/>
                <w:sz w:val="20"/>
                <w:szCs w:val="20"/>
              </w:rPr>
            </w:pPr>
            <w:r>
              <w:rPr>
                <w:rFonts w:eastAsia="SimSun"/>
                <w:color w:val="000000"/>
                <w:sz w:val="20"/>
                <w:szCs w:val="20"/>
                <w:lang w:val="en-US" w:eastAsia="zh-CN" w:bidi="ar"/>
              </w:rPr>
              <w:t>104,73</w:t>
            </w:r>
          </w:p>
        </w:tc>
      </w:tr>
    </w:tbl>
    <w:p w14:paraId="1A07092D">
      <w:pPr>
        <w:ind w:firstLine="567"/>
        <w:jc w:val="right"/>
        <w:rPr>
          <w:highlight w:val="yellow"/>
        </w:rPr>
      </w:pPr>
    </w:p>
    <w:p w14:paraId="4D0455E9">
      <w:pPr>
        <w:ind w:firstLine="567"/>
        <w:jc w:val="both"/>
      </w:pPr>
      <w:r>
        <w:rPr>
          <w:b/>
        </w:rPr>
        <w:t>Задолженность и перерасчёты по отмененным налогам, сборам и иным обязательным платежам</w:t>
      </w:r>
      <w:r>
        <w:t xml:space="preserve"> (-8,871 тыс. руб.) в общей сумме доходов доля составила (-0,003%). В сравнении с анализируемым периодом 2023 года сумма поступлений уменьшилась на 23,37 тыс. руб.</w:t>
      </w:r>
    </w:p>
    <w:p w14:paraId="32FF3B15">
      <w:pPr>
        <w:ind w:firstLine="567"/>
        <w:jc w:val="both"/>
        <w:rPr>
          <w:sz w:val="12"/>
          <w:szCs w:val="12"/>
          <w:highlight w:val="yellow"/>
        </w:rPr>
      </w:pPr>
    </w:p>
    <w:p w14:paraId="1C3E6157">
      <w:pPr>
        <w:ind w:firstLine="567"/>
        <w:jc w:val="both"/>
      </w:pPr>
      <w:r>
        <w:rPr>
          <w:b/>
        </w:rPr>
        <w:t>Неналоговые доходы</w:t>
      </w:r>
      <w:r>
        <w:t xml:space="preserve"> за 1 полугодие текущего года составили </w:t>
      </w:r>
      <w:r>
        <w:rPr>
          <w:bCs/>
          <w:color w:val="000000"/>
        </w:rPr>
        <w:t xml:space="preserve">44603,41 </w:t>
      </w:r>
      <w:r>
        <w:t>тыс. руб., доля в общей сумме доходов составляет 17,3%. В сравнении с анализируемым периодом 2023 года сумма поступлений по неналоговым доходам уменьшилась на 1097,83 тыс. руб., или на 2,4%.</w:t>
      </w:r>
    </w:p>
    <w:p w14:paraId="10666D5D">
      <w:pPr>
        <w:ind w:firstLine="567"/>
        <w:jc w:val="both"/>
      </w:pPr>
      <w:r>
        <w:t>Структура неналоговых поступлений за 1 полугодие 2024 года представлена в диаграмме №2.</w:t>
      </w:r>
    </w:p>
    <w:p w14:paraId="78524316">
      <w:pPr>
        <w:jc w:val="both"/>
        <w:rPr>
          <w:highlight w:val="yellow"/>
        </w:rPr>
      </w:pPr>
      <w:r>
        <w:drawing>
          <wp:inline distT="0" distB="0" distL="114300" distR="114300">
            <wp:extent cx="5979795" cy="1953260"/>
            <wp:effectExtent l="5080" t="4445" r="15875" b="23495"/>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E0C764">
      <w:pPr>
        <w:jc w:val="both"/>
        <w:rPr>
          <w:highlight w:val="yellow"/>
        </w:rPr>
      </w:pPr>
    </w:p>
    <w:p w14:paraId="6E328F8B">
      <w:pPr>
        <w:ind w:firstLine="567"/>
        <w:jc w:val="both"/>
        <w:rPr>
          <w:color w:val="000000"/>
        </w:rPr>
      </w:pPr>
      <w:r>
        <w:t xml:space="preserve">Основными видами неналоговых поступлений, за счёт которых формируется бюджет района, являются – доходы от оказания платных услуг 29912,15 тыс. руб. </w:t>
      </w:r>
      <w:r>
        <w:rPr>
          <w:color w:val="000000"/>
        </w:rPr>
        <w:t xml:space="preserve">(доля в общей сумме доходов 11,6%), доходы от использования имущества 10709,45 тыс. руб. (доля в общей сумме доходов 4,2%), доходы от продажи материальных и нематериальных активов 1097,17 тыс. руб. </w:t>
      </w:r>
      <w:r>
        <w:t xml:space="preserve">(доля 0,4%), штрафы 2218,53 тыс. </w:t>
      </w:r>
      <w:r>
        <w:rPr>
          <w:color w:val="000000"/>
        </w:rPr>
        <w:t>руб. (доля 0,9%).</w:t>
      </w:r>
    </w:p>
    <w:p w14:paraId="4DE09578">
      <w:pPr>
        <w:ind w:firstLine="567"/>
        <w:jc w:val="both"/>
        <w:rPr>
          <w:bCs/>
        </w:rPr>
      </w:pPr>
      <w:r>
        <w:rPr>
          <w:bCs/>
        </w:rPr>
        <w:t>Динамика основных неналоговых поступлений за последние 3 года (на 1 июля каждого года) представлена на графике:</w:t>
      </w:r>
    </w:p>
    <w:p w14:paraId="0F332835">
      <w:pPr>
        <w:ind w:firstLine="567"/>
        <w:jc w:val="both"/>
        <w:rPr>
          <w:bCs/>
        </w:rPr>
      </w:pPr>
      <w:r>
        <w:drawing>
          <wp:inline distT="0" distB="0" distL="114300" distR="114300">
            <wp:extent cx="4826000" cy="1967865"/>
            <wp:effectExtent l="4445" t="4445" r="8255" b="8890"/>
            <wp:docPr id="6"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6A94E2">
      <w:pPr>
        <w:ind w:firstLine="567"/>
        <w:jc w:val="both"/>
        <w:rPr>
          <w:bCs/>
        </w:rPr>
      </w:pPr>
    </w:p>
    <w:p w14:paraId="62F49718">
      <w:pPr>
        <w:ind w:firstLine="567"/>
        <w:jc w:val="both"/>
      </w:pPr>
      <w:r>
        <w:rPr>
          <w:b/>
        </w:rPr>
        <w:t>Безвозмездные поступления</w:t>
      </w:r>
      <w:r>
        <w:t xml:space="preserve"> за 1 полугодие 2024 года составили 777803,54 тыс. </w:t>
      </w:r>
      <w:r>
        <w:rPr>
          <w:color w:val="000000"/>
        </w:rPr>
        <w:t>руб.</w:t>
      </w:r>
      <w:r>
        <w:t xml:space="preserve"> или 65,19% к утверждённому прогнозу (1193067,07 тыс. руб.). По сравнению с аналогичным периодом 2023 года объём безвозмездных поступлений увеличился на 201720,82 тыс. руб. или на 35,02%.</w:t>
      </w:r>
    </w:p>
    <w:p w14:paraId="0B1B8D59">
      <w:pPr>
        <w:ind w:firstLine="567"/>
        <w:jc w:val="both"/>
      </w:pPr>
      <w:r>
        <w:t>Безвозмездные поступления по видам представлены в таблице №5:</w:t>
      </w:r>
    </w:p>
    <w:p w14:paraId="18920529">
      <w:pPr>
        <w:jc w:val="right"/>
      </w:pPr>
      <w:r>
        <w:t>Таблица №5 (тыс. руб.)</w:t>
      </w:r>
    </w:p>
    <w:tbl>
      <w:tblPr>
        <w:tblStyle w:val="3"/>
        <w:tblW w:w="9356" w:type="dxa"/>
        <w:tblInd w:w="91" w:type="dxa"/>
        <w:tblLayout w:type="autofit"/>
        <w:tblCellMar>
          <w:top w:w="0" w:type="dxa"/>
          <w:left w:w="108" w:type="dxa"/>
          <w:bottom w:w="0" w:type="dxa"/>
          <w:right w:w="108" w:type="dxa"/>
        </w:tblCellMar>
      </w:tblPr>
      <w:tblGrid>
        <w:gridCol w:w="2313"/>
        <w:gridCol w:w="1487"/>
        <w:gridCol w:w="1512"/>
        <w:gridCol w:w="1487"/>
        <w:gridCol w:w="1221"/>
        <w:gridCol w:w="1336"/>
      </w:tblGrid>
      <w:tr w14:paraId="6A4BD635">
        <w:tblPrEx>
          <w:tblCellMar>
            <w:top w:w="0" w:type="dxa"/>
            <w:left w:w="108" w:type="dxa"/>
            <w:bottom w:w="0" w:type="dxa"/>
            <w:right w:w="108" w:type="dxa"/>
          </w:tblCellMar>
        </w:tblPrEx>
        <w:trPr>
          <w:trHeight w:val="70" w:hRule="atLeast"/>
        </w:trPr>
        <w:tc>
          <w:tcPr>
            <w:tcW w:w="23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08C5FC">
            <w:pPr>
              <w:jc w:val="center"/>
              <w:rPr>
                <w:color w:val="000000"/>
                <w:sz w:val="20"/>
                <w:szCs w:val="20"/>
              </w:rPr>
            </w:pPr>
            <w:r>
              <w:rPr>
                <w:color w:val="000000"/>
                <w:sz w:val="20"/>
                <w:szCs w:val="20"/>
              </w:rPr>
              <w:t>Наименование  источника</w:t>
            </w:r>
          </w:p>
        </w:tc>
        <w:tc>
          <w:tcPr>
            <w:tcW w:w="14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21EC46">
            <w:pPr>
              <w:jc w:val="center"/>
              <w:rPr>
                <w:color w:val="000000"/>
                <w:sz w:val="20"/>
                <w:szCs w:val="20"/>
              </w:rPr>
            </w:pPr>
            <w:r>
              <w:rPr>
                <w:color w:val="000000"/>
                <w:sz w:val="20"/>
                <w:szCs w:val="20"/>
              </w:rPr>
              <w:t>Исполнение бюджета на 01.07.2023г</w:t>
            </w:r>
          </w:p>
        </w:tc>
        <w:tc>
          <w:tcPr>
            <w:tcW w:w="4220" w:type="dxa"/>
            <w:gridSpan w:val="3"/>
            <w:tcBorders>
              <w:top w:val="single" w:color="auto" w:sz="4" w:space="0"/>
              <w:left w:val="nil"/>
              <w:bottom w:val="single" w:color="auto" w:sz="4" w:space="0"/>
              <w:right w:val="single" w:color="auto" w:sz="4" w:space="0"/>
            </w:tcBorders>
            <w:shd w:val="clear" w:color="auto" w:fill="auto"/>
            <w:vAlign w:val="center"/>
          </w:tcPr>
          <w:p w14:paraId="705390A2">
            <w:pPr>
              <w:jc w:val="center"/>
              <w:rPr>
                <w:b/>
                <w:bCs/>
                <w:color w:val="000000"/>
                <w:sz w:val="20"/>
                <w:szCs w:val="20"/>
              </w:rPr>
            </w:pPr>
            <w:r>
              <w:rPr>
                <w:b/>
                <w:bCs/>
                <w:color w:val="000000"/>
                <w:sz w:val="20"/>
                <w:szCs w:val="20"/>
              </w:rPr>
              <w:t>2024 год</w:t>
            </w: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5E9CAC">
            <w:pPr>
              <w:jc w:val="center"/>
              <w:rPr>
                <w:color w:val="000000"/>
                <w:sz w:val="20"/>
                <w:szCs w:val="20"/>
              </w:rPr>
            </w:pPr>
            <w:r>
              <w:rPr>
                <w:color w:val="000000"/>
                <w:sz w:val="20"/>
                <w:szCs w:val="20"/>
              </w:rPr>
              <w:t>Темпы роста 2024 к 2023 (%) гр.4/гр.2*100</w:t>
            </w:r>
          </w:p>
        </w:tc>
      </w:tr>
      <w:tr w14:paraId="347E2EEC">
        <w:tblPrEx>
          <w:tblCellMar>
            <w:top w:w="0" w:type="dxa"/>
            <w:left w:w="108" w:type="dxa"/>
            <w:bottom w:w="0" w:type="dxa"/>
            <w:right w:w="108" w:type="dxa"/>
          </w:tblCellMar>
        </w:tblPrEx>
        <w:trPr>
          <w:trHeight w:val="382" w:hRule="atLeast"/>
        </w:trPr>
        <w:tc>
          <w:tcPr>
            <w:tcW w:w="2313" w:type="dxa"/>
            <w:vMerge w:val="continue"/>
            <w:tcBorders>
              <w:top w:val="single" w:color="auto" w:sz="4" w:space="0"/>
              <w:left w:val="single" w:color="auto" w:sz="4" w:space="0"/>
              <w:bottom w:val="single" w:color="auto" w:sz="4" w:space="0"/>
              <w:right w:val="single" w:color="auto" w:sz="4" w:space="0"/>
            </w:tcBorders>
            <w:vAlign w:val="center"/>
          </w:tcPr>
          <w:p w14:paraId="50F0A16F">
            <w:pPr>
              <w:rPr>
                <w:color w:val="000000"/>
                <w:sz w:val="20"/>
                <w:szCs w:val="20"/>
              </w:rPr>
            </w:pPr>
          </w:p>
        </w:tc>
        <w:tc>
          <w:tcPr>
            <w:tcW w:w="1487" w:type="dxa"/>
            <w:vMerge w:val="continue"/>
            <w:tcBorders>
              <w:top w:val="single" w:color="auto" w:sz="4" w:space="0"/>
              <w:left w:val="single" w:color="auto" w:sz="4" w:space="0"/>
              <w:bottom w:val="single" w:color="auto" w:sz="4" w:space="0"/>
              <w:right w:val="single" w:color="auto" w:sz="4" w:space="0"/>
            </w:tcBorders>
            <w:vAlign w:val="center"/>
          </w:tcPr>
          <w:p w14:paraId="293D3386">
            <w:pPr>
              <w:rPr>
                <w:color w:val="000000"/>
                <w:sz w:val="20"/>
                <w:szCs w:val="20"/>
              </w:rPr>
            </w:pPr>
          </w:p>
        </w:tc>
        <w:tc>
          <w:tcPr>
            <w:tcW w:w="1512" w:type="dxa"/>
            <w:tcBorders>
              <w:top w:val="nil"/>
              <w:left w:val="nil"/>
              <w:bottom w:val="single" w:color="auto" w:sz="4" w:space="0"/>
              <w:right w:val="single" w:color="auto" w:sz="4" w:space="0"/>
            </w:tcBorders>
            <w:shd w:val="clear" w:color="auto" w:fill="auto"/>
            <w:vAlign w:val="center"/>
          </w:tcPr>
          <w:p w14:paraId="6744A127">
            <w:pPr>
              <w:jc w:val="center"/>
              <w:rPr>
                <w:color w:val="000000"/>
                <w:sz w:val="20"/>
                <w:szCs w:val="20"/>
              </w:rPr>
            </w:pPr>
            <w:r>
              <w:rPr>
                <w:color w:val="000000"/>
                <w:sz w:val="20"/>
                <w:szCs w:val="20"/>
              </w:rPr>
              <w:t>Прогноз</w:t>
            </w:r>
          </w:p>
        </w:tc>
        <w:tc>
          <w:tcPr>
            <w:tcW w:w="1487" w:type="dxa"/>
            <w:tcBorders>
              <w:top w:val="nil"/>
              <w:left w:val="nil"/>
              <w:bottom w:val="single" w:color="auto" w:sz="4" w:space="0"/>
              <w:right w:val="single" w:color="auto" w:sz="4" w:space="0"/>
            </w:tcBorders>
            <w:shd w:val="clear" w:color="auto" w:fill="auto"/>
            <w:vAlign w:val="center"/>
          </w:tcPr>
          <w:p w14:paraId="6E56AE1D">
            <w:pPr>
              <w:jc w:val="center"/>
              <w:rPr>
                <w:color w:val="000000"/>
                <w:sz w:val="20"/>
                <w:szCs w:val="20"/>
              </w:rPr>
            </w:pPr>
            <w:r>
              <w:rPr>
                <w:color w:val="000000"/>
                <w:sz w:val="20"/>
                <w:szCs w:val="20"/>
              </w:rPr>
              <w:t xml:space="preserve">Исполнение на 01.07.2024г </w:t>
            </w:r>
          </w:p>
        </w:tc>
        <w:tc>
          <w:tcPr>
            <w:tcW w:w="1221" w:type="dxa"/>
            <w:tcBorders>
              <w:top w:val="nil"/>
              <w:left w:val="nil"/>
              <w:bottom w:val="single" w:color="auto" w:sz="4" w:space="0"/>
              <w:right w:val="single" w:color="auto" w:sz="4" w:space="0"/>
            </w:tcBorders>
            <w:shd w:val="clear" w:color="auto" w:fill="auto"/>
            <w:vAlign w:val="center"/>
          </w:tcPr>
          <w:p w14:paraId="264004C9">
            <w:pPr>
              <w:jc w:val="center"/>
              <w:rPr>
                <w:color w:val="000000"/>
                <w:sz w:val="20"/>
                <w:szCs w:val="20"/>
              </w:rPr>
            </w:pPr>
            <w:r>
              <w:rPr>
                <w:color w:val="000000"/>
                <w:sz w:val="20"/>
                <w:szCs w:val="20"/>
              </w:rPr>
              <w:t>% исполнения</w:t>
            </w: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06BA76C0">
            <w:pPr>
              <w:rPr>
                <w:color w:val="000000"/>
                <w:sz w:val="20"/>
                <w:szCs w:val="20"/>
              </w:rPr>
            </w:pPr>
          </w:p>
        </w:tc>
      </w:tr>
      <w:tr w14:paraId="2758E21E">
        <w:tblPrEx>
          <w:tblCellMar>
            <w:top w:w="0" w:type="dxa"/>
            <w:left w:w="108" w:type="dxa"/>
            <w:bottom w:w="0" w:type="dxa"/>
            <w:right w:w="108" w:type="dxa"/>
          </w:tblCellMar>
        </w:tblPrEx>
        <w:trPr>
          <w:trHeight w:val="70" w:hRule="atLeast"/>
        </w:trPr>
        <w:tc>
          <w:tcPr>
            <w:tcW w:w="2313" w:type="dxa"/>
            <w:tcBorders>
              <w:top w:val="single" w:color="auto" w:sz="4" w:space="0"/>
              <w:left w:val="single" w:color="auto" w:sz="4" w:space="0"/>
              <w:bottom w:val="single" w:color="auto" w:sz="4" w:space="0"/>
              <w:right w:val="single" w:color="auto" w:sz="4" w:space="0"/>
            </w:tcBorders>
            <w:vAlign w:val="center"/>
          </w:tcPr>
          <w:p w14:paraId="5BD1B034">
            <w:pPr>
              <w:jc w:val="center"/>
              <w:rPr>
                <w:color w:val="000000"/>
                <w:sz w:val="20"/>
                <w:szCs w:val="20"/>
              </w:rPr>
            </w:pPr>
            <w:r>
              <w:rPr>
                <w:color w:val="000000"/>
                <w:sz w:val="20"/>
                <w:szCs w:val="20"/>
              </w:rPr>
              <w:t>1</w:t>
            </w:r>
          </w:p>
        </w:tc>
        <w:tc>
          <w:tcPr>
            <w:tcW w:w="1487" w:type="dxa"/>
            <w:tcBorders>
              <w:top w:val="single" w:color="auto" w:sz="4" w:space="0"/>
              <w:left w:val="single" w:color="auto" w:sz="4" w:space="0"/>
              <w:bottom w:val="single" w:color="auto" w:sz="4" w:space="0"/>
              <w:right w:val="single" w:color="auto" w:sz="4" w:space="0"/>
            </w:tcBorders>
            <w:vAlign w:val="center"/>
          </w:tcPr>
          <w:p w14:paraId="4EED734D">
            <w:pPr>
              <w:jc w:val="center"/>
              <w:rPr>
                <w:color w:val="000000"/>
                <w:sz w:val="20"/>
                <w:szCs w:val="20"/>
              </w:rPr>
            </w:pPr>
            <w:r>
              <w:rPr>
                <w:color w:val="000000"/>
                <w:sz w:val="20"/>
                <w:szCs w:val="20"/>
              </w:rPr>
              <w:t>2</w:t>
            </w:r>
          </w:p>
        </w:tc>
        <w:tc>
          <w:tcPr>
            <w:tcW w:w="1512" w:type="dxa"/>
            <w:tcBorders>
              <w:top w:val="nil"/>
              <w:left w:val="nil"/>
              <w:bottom w:val="single" w:color="auto" w:sz="4" w:space="0"/>
              <w:right w:val="single" w:color="auto" w:sz="4" w:space="0"/>
            </w:tcBorders>
            <w:shd w:val="clear" w:color="auto" w:fill="auto"/>
            <w:vAlign w:val="center"/>
          </w:tcPr>
          <w:p w14:paraId="3A3B97A9">
            <w:pPr>
              <w:jc w:val="center"/>
              <w:rPr>
                <w:color w:val="000000"/>
                <w:sz w:val="20"/>
                <w:szCs w:val="20"/>
              </w:rPr>
            </w:pPr>
            <w:r>
              <w:rPr>
                <w:color w:val="000000"/>
                <w:sz w:val="20"/>
                <w:szCs w:val="20"/>
              </w:rPr>
              <w:t>3</w:t>
            </w:r>
          </w:p>
        </w:tc>
        <w:tc>
          <w:tcPr>
            <w:tcW w:w="1487" w:type="dxa"/>
            <w:tcBorders>
              <w:top w:val="nil"/>
              <w:left w:val="nil"/>
              <w:bottom w:val="single" w:color="auto" w:sz="4" w:space="0"/>
              <w:right w:val="single" w:color="auto" w:sz="4" w:space="0"/>
            </w:tcBorders>
            <w:shd w:val="clear" w:color="auto" w:fill="auto"/>
            <w:vAlign w:val="center"/>
          </w:tcPr>
          <w:p w14:paraId="4CBAFA03">
            <w:pPr>
              <w:jc w:val="center"/>
              <w:rPr>
                <w:color w:val="000000"/>
                <w:sz w:val="20"/>
                <w:szCs w:val="20"/>
              </w:rPr>
            </w:pPr>
            <w:r>
              <w:rPr>
                <w:color w:val="000000"/>
                <w:sz w:val="20"/>
                <w:szCs w:val="20"/>
              </w:rPr>
              <w:t>4</w:t>
            </w:r>
          </w:p>
        </w:tc>
        <w:tc>
          <w:tcPr>
            <w:tcW w:w="1221" w:type="dxa"/>
            <w:tcBorders>
              <w:top w:val="nil"/>
              <w:left w:val="nil"/>
              <w:bottom w:val="single" w:color="auto" w:sz="4" w:space="0"/>
              <w:right w:val="single" w:color="auto" w:sz="4" w:space="0"/>
            </w:tcBorders>
            <w:shd w:val="clear" w:color="auto" w:fill="auto"/>
            <w:vAlign w:val="center"/>
          </w:tcPr>
          <w:p w14:paraId="47A30D9D">
            <w:pPr>
              <w:jc w:val="center"/>
              <w:rPr>
                <w:color w:val="000000"/>
                <w:sz w:val="20"/>
                <w:szCs w:val="20"/>
              </w:rPr>
            </w:pPr>
            <w:r>
              <w:rPr>
                <w:color w:val="000000"/>
                <w:sz w:val="20"/>
                <w:szCs w:val="20"/>
              </w:rPr>
              <w:t>5</w:t>
            </w:r>
          </w:p>
        </w:tc>
        <w:tc>
          <w:tcPr>
            <w:tcW w:w="1336" w:type="dxa"/>
            <w:tcBorders>
              <w:top w:val="single" w:color="auto" w:sz="4" w:space="0"/>
              <w:left w:val="single" w:color="auto" w:sz="4" w:space="0"/>
              <w:bottom w:val="single" w:color="auto" w:sz="4" w:space="0"/>
              <w:right w:val="single" w:color="auto" w:sz="4" w:space="0"/>
            </w:tcBorders>
            <w:vAlign w:val="center"/>
          </w:tcPr>
          <w:p w14:paraId="024A0C3D">
            <w:pPr>
              <w:jc w:val="center"/>
              <w:rPr>
                <w:color w:val="000000"/>
                <w:sz w:val="20"/>
                <w:szCs w:val="20"/>
              </w:rPr>
            </w:pPr>
            <w:r>
              <w:rPr>
                <w:color w:val="000000"/>
                <w:sz w:val="20"/>
                <w:szCs w:val="20"/>
              </w:rPr>
              <w:t>6</w:t>
            </w:r>
          </w:p>
        </w:tc>
      </w:tr>
      <w:tr w14:paraId="1DFD6DC1">
        <w:tblPrEx>
          <w:tblCellMar>
            <w:top w:w="0" w:type="dxa"/>
            <w:left w:w="108" w:type="dxa"/>
            <w:bottom w:w="0" w:type="dxa"/>
            <w:right w:w="108" w:type="dxa"/>
          </w:tblCellMar>
        </w:tblPrEx>
        <w:trPr>
          <w:trHeight w:val="618" w:hRule="atLeast"/>
        </w:trPr>
        <w:tc>
          <w:tcPr>
            <w:tcW w:w="2313" w:type="dxa"/>
            <w:tcBorders>
              <w:top w:val="nil"/>
              <w:left w:val="single" w:color="auto" w:sz="4" w:space="0"/>
              <w:bottom w:val="single" w:color="auto" w:sz="4" w:space="0"/>
              <w:right w:val="single" w:color="auto" w:sz="4" w:space="0"/>
            </w:tcBorders>
            <w:shd w:val="clear" w:color="auto" w:fill="auto"/>
            <w:vAlign w:val="center"/>
          </w:tcPr>
          <w:p w14:paraId="672DE7C4">
            <w:pPr>
              <w:jc w:val="both"/>
              <w:rPr>
                <w:color w:val="000000"/>
                <w:sz w:val="20"/>
                <w:szCs w:val="20"/>
              </w:rPr>
            </w:pPr>
            <w:r>
              <w:rPr>
                <w:color w:val="000000"/>
                <w:sz w:val="20"/>
                <w:szCs w:val="20"/>
              </w:rPr>
              <w:t>Безвозмездные поступления, в том числе</w:t>
            </w:r>
          </w:p>
        </w:tc>
        <w:tc>
          <w:tcPr>
            <w:tcW w:w="1487" w:type="dxa"/>
            <w:tcBorders>
              <w:top w:val="nil"/>
              <w:left w:val="nil"/>
              <w:bottom w:val="single" w:color="auto" w:sz="4" w:space="0"/>
              <w:right w:val="single" w:color="auto" w:sz="4" w:space="0"/>
            </w:tcBorders>
            <w:shd w:val="clear" w:color="auto" w:fill="auto"/>
            <w:vAlign w:val="center"/>
          </w:tcPr>
          <w:p w14:paraId="4317979D">
            <w:pPr>
              <w:jc w:val="center"/>
              <w:textAlignment w:val="center"/>
              <w:rPr>
                <w:color w:val="000000"/>
                <w:sz w:val="20"/>
                <w:szCs w:val="20"/>
              </w:rPr>
            </w:pPr>
            <w:r>
              <w:rPr>
                <w:rFonts w:eastAsia="SimSun"/>
                <w:color w:val="000000"/>
                <w:sz w:val="20"/>
                <w:szCs w:val="20"/>
                <w:lang w:val="en-US" w:eastAsia="zh-CN" w:bidi="ar"/>
              </w:rPr>
              <w:t>576 082,72</w:t>
            </w:r>
          </w:p>
        </w:tc>
        <w:tc>
          <w:tcPr>
            <w:tcW w:w="1512" w:type="dxa"/>
            <w:tcBorders>
              <w:top w:val="nil"/>
              <w:left w:val="nil"/>
              <w:bottom w:val="single" w:color="auto" w:sz="4" w:space="0"/>
              <w:right w:val="single" w:color="auto" w:sz="4" w:space="0"/>
            </w:tcBorders>
            <w:shd w:val="clear" w:color="auto" w:fill="auto"/>
            <w:vAlign w:val="center"/>
          </w:tcPr>
          <w:p w14:paraId="6AFB5D69">
            <w:pPr>
              <w:jc w:val="center"/>
              <w:textAlignment w:val="center"/>
              <w:rPr>
                <w:color w:val="000000"/>
                <w:sz w:val="20"/>
                <w:szCs w:val="20"/>
              </w:rPr>
            </w:pPr>
            <w:r>
              <w:rPr>
                <w:rFonts w:eastAsia="SimSun"/>
                <w:color w:val="000000"/>
                <w:sz w:val="20"/>
                <w:szCs w:val="20"/>
                <w:lang w:val="en-US" w:eastAsia="zh-CN" w:bidi="ar"/>
              </w:rPr>
              <w:t>1193 067,07</w:t>
            </w:r>
          </w:p>
        </w:tc>
        <w:tc>
          <w:tcPr>
            <w:tcW w:w="1487" w:type="dxa"/>
            <w:tcBorders>
              <w:top w:val="nil"/>
              <w:left w:val="nil"/>
              <w:bottom w:val="single" w:color="auto" w:sz="4" w:space="0"/>
              <w:right w:val="single" w:color="auto" w:sz="4" w:space="0"/>
            </w:tcBorders>
            <w:shd w:val="clear" w:color="auto" w:fill="auto"/>
            <w:vAlign w:val="center"/>
          </w:tcPr>
          <w:p w14:paraId="2A102827">
            <w:pPr>
              <w:jc w:val="center"/>
              <w:textAlignment w:val="center"/>
              <w:rPr>
                <w:color w:val="000000"/>
                <w:sz w:val="20"/>
                <w:szCs w:val="20"/>
              </w:rPr>
            </w:pPr>
            <w:r>
              <w:rPr>
                <w:rFonts w:eastAsia="SimSun"/>
                <w:color w:val="000000"/>
                <w:sz w:val="20"/>
                <w:szCs w:val="20"/>
                <w:lang w:val="en-US" w:eastAsia="zh-CN" w:bidi="ar"/>
              </w:rPr>
              <w:t>777 803,54</w:t>
            </w:r>
          </w:p>
        </w:tc>
        <w:tc>
          <w:tcPr>
            <w:tcW w:w="1221" w:type="dxa"/>
            <w:tcBorders>
              <w:top w:val="nil"/>
              <w:left w:val="nil"/>
              <w:bottom w:val="single" w:color="auto" w:sz="4" w:space="0"/>
              <w:right w:val="single" w:color="auto" w:sz="4" w:space="0"/>
            </w:tcBorders>
            <w:shd w:val="clear" w:color="auto" w:fill="auto"/>
            <w:noWrap/>
            <w:vAlign w:val="center"/>
          </w:tcPr>
          <w:p w14:paraId="10B5AE04">
            <w:pPr>
              <w:jc w:val="center"/>
              <w:textAlignment w:val="center"/>
              <w:rPr>
                <w:color w:val="000000"/>
                <w:sz w:val="20"/>
                <w:szCs w:val="20"/>
              </w:rPr>
            </w:pPr>
            <w:r>
              <w:rPr>
                <w:rFonts w:eastAsia="SimSun"/>
                <w:color w:val="000000"/>
                <w:sz w:val="20"/>
                <w:szCs w:val="20"/>
                <w:lang w:val="en-US" w:eastAsia="zh-CN" w:bidi="ar"/>
              </w:rPr>
              <w:t xml:space="preserve"> 65,19</w:t>
            </w:r>
          </w:p>
        </w:tc>
        <w:tc>
          <w:tcPr>
            <w:tcW w:w="1336" w:type="dxa"/>
            <w:tcBorders>
              <w:top w:val="nil"/>
              <w:left w:val="nil"/>
              <w:bottom w:val="single" w:color="auto" w:sz="4" w:space="0"/>
              <w:right w:val="single" w:color="auto" w:sz="4" w:space="0"/>
            </w:tcBorders>
            <w:shd w:val="clear" w:color="auto" w:fill="auto"/>
            <w:noWrap/>
            <w:vAlign w:val="center"/>
          </w:tcPr>
          <w:p w14:paraId="5D6CE526">
            <w:pPr>
              <w:jc w:val="center"/>
              <w:textAlignment w:val="center"/>
              <w:rPr>
                <w:color w:val="000000"/>
                <w:sz w:val="20"/>
                <w:szCs w:val="20"/>
              </w:rPr>
            </w:pPr>
            <w:r>
              <w:rPr>
                <w:rFonts w:eastAsia="SimSun"/>
                <w:color w:val="000000"/>
                <w:sz w:val="20"/>
                <w:szCs w:val="20"/>
                <w:lang w:val="en-US" w:eastAsia="zh-CN" w:bidi="ar"/>
              </w:rPr>
              <w:t xml:space="preserve"> 135,02</w:t>
            </w:r>
          </w:p>
        </w:tc>
      </w:tr>
      <w:tr w14:paraId="62E7327D">
        <w:tblPrEx>
          <w:tblCellMar>
            <w:top w:w="0" w:type="dxa"/>
            <w:left w:w="108" w:type="dxa"/>
            <w:bottom w:w="0" w:type="dxa"/>
            <w:right w:w="108" w:type="dxa"/>
          </w:tblCellMar>
        </w:tblPrEx>
        <w:trPr>
          <w:trHeight w:val="202" w:hRule="atLeast"/>
        </w:trPr>
        <w:tc>
          <w:tcPr>
            <w:tcW w:w="2313" w:type="dxa"/>
            <w:tcBorders>
              <w:top w:val="nil"/>
              <w:left w:val="single" w:color="auto" w:sz="4" w:space="0"/>
              <w:bottom w:val="single" w:color="auto" w:sz="4" w:space="0"/>
              <w:right w:val="single" w:color="auto" w:sz="4" w:space="0"/>
            </w:tcBorders>
            <w:shd w:val="clear" w:color="auto" w:fill="auto"/>
            <w:vAlign w:val="center"/>
          </w:tcPr>
          <w:p w14:paraId="779BD6CB">
            <w:pPr>
              <w:jc w:val="both"/>
              <w:rPr>
                <w:color w:val="000000"/>
                <w:sz w:val="20"/>
                <w:szCs w:val="20"/>
              </w:rPr>
            </w:pPr>
            <w:r>
              <w:rPr>
                <w:color w:val="000000"/>
                <w:sz w:val="20"/>
                <w:szCs w:val="20"/>
              </w:rPr>
              <w:t>дотации</w:t>
            </w:r>
          </w:p>
        </w:tc>
        <w:tc>
          <w:tcPr>
            <w:tcW w:w="1487" w:type="dxa"/>
            <w:tcBorders>
              <w:top w:val="nil"/>
              <w:left w:val="nil"/>
              <w:bottom w:val="single" w:color="auto" w:sz="4" w:space="0"/>
              <w:right w:val="single" w:color="auto" w:sz="4" w:space="0"/>
            </w:tcBorders>
            <w:shd w:val="clear" w:color="auto" w:fill="auto"/>
            <w:vAlign w:val="center"/>
          </w:tcPr>
          <w:p w14:paraId="784E8D85">
            <w:pPr>
              <w:jc w:val="center"/>
              <w:textAlignment w:val="center"/>
              <w:rPr>
                <w:color w:val="000000"/>
                <w:sz w:val="20"/>
                <w:szCs w:val="20"/>
              </w:rPr>
            </w:pPr>
            <w:r>
              <w:rPr>
                <w:rFonts w:eastAsia="SimSun"/>
                <w:color w:val="000000"/>
                <w:sz w:val="20"/>
                <w:szCs w:val="20"/>
                <w:lang w:val="en-US" w:eastAsia="zh-CN" w:bidi="ar"/>
              </w:rPr>
              <w:t>24 960,00</w:t>
            </w:r>
          </w:p>
        </w:tc>
        <w:tc>
          <w:tcPr>
            <w:tcW w:w="1512" w:type="dxa"/>
            <w:tcBorders>
              <w:top w:val="nil"/>
              <w:left w:val="nil"/>
              <w:bottom w:val="single" w:color="auto" w:sz="4" w:space="0"/>
              <w:right w:val="single" w:color="auto" w:sz="4" w:space="0"/>
            </w:tcBorders>
            <w:shd w:val="clear" w:color="auto" w:fill="auto"/>
            <w:vAlign w:val="center"/>
          </w:tcPr>
          <w:p w14:paraId="6DFFE940">
            <w:pPr>
              <w:jc w:val="center"/>
              <w:textAlignment w:val="center"/>
              <w:rPr>
                <w:color w:val="000000"/>
                <w:sz w:val="20"/>
                <w:szCs w:val="20"/>
              </w:rPr>
            </w:pPr>
            <w:r>
              <w:rPr>
                <w:rFonts w:eastAsia="SimSun"/>
                <w:color w:val="000000"/>
                <w:sz w:val="20"/>
                <w:szCs w:val="20"/>
                <w:lang w:val="en-US" w:eastAsia="zh-CN" w:bidi="ar"/>
              </w:rPr>
              <w:t>49 751,3</w:t>
            </w:r>
          </w:p>
        </w:tc>
        <w:tc>
          <w:tcPr>
            <w:tcW w:w="1487" w:type="dxa"/>
            <w:tcBorders>
              <w:top w:val="nil"/>
              <w:left w:val="nil"/>
              <w:bottom w:val="single" w:color="auto" w:sz="4" w:space="0"/>
              <w:right w:val="single" w:color="auto" w:sz="4" w:space="0"/>
            </w:tcBorders>
            <w:shd w:val="clear" w:color="auto" w:fill="auto"/>
            <w:vAlign w:val="center"/>
          </w:tcPr>
          <w:p w14:paraId="3FC5AD41">
            <w:pPr>
              <w:jc w:val="center"/>
              <w:textAlignment w:val="center"/>
              <w:rPr>
                <w:color w:val="000000"/>
                <w:sz w:val="20"/>
                <w:szCs w:val="20"/>
              </w:rPr>
            </w:pPr>
            <w:r>
              <w:rPr>
                <w:rFonts w:eastAsia="SimSun"/>
                <w:color w:val="000000"/>
                <w:sz w:val="20"/>
                <w:szCs w:val="20"/>
                <w:lang w:val="en-US" w:eastAsia="zh-CN" w:bidi="ar"/>
              </w:rPr>
              <w:t>24 875,40</w:t>
            </w:r>
          </w:p>
        </w:tc>
        <w:tc>
          <w:tcPr>
            <w:tcW w:w="1221" w:type="dxa"/>
            <w:tcBorders>
              <w:top w:val="nil"/>
              <w:left w:val="nil"/>
              <w:bottom w:val="single" w:color="auto" w:sz="4" w:space="0"/>
              <w:right w:val="single" w:color="auto" w:sz="4" w:space="0"/>
            </w:tcBorders>
            <w:shd w:val="clear" w:color="auto" w:fill="auto"/>
            <w:noWrap/>
            <w:vAlign w:val="center"/>
          </w:tcPr>
          <w:p w14:paraId="0AC3A570">
            <w:pPr>
              <w:jc w:val="center"/>
              <w:textAlignment w:val="center"/>
              <w:rPr>
                <w:color w:val="000000"/>
                <w:sz w:val="20"/>
                <w:szCs w:val="20"/>
              </w:rPr>
            </w:pPr>
            <w:r>
              <w:rPr>
                <w:rFonts w:eastAsia="SimSun"/>
                <w:color w:val="000000"/>
                <w:sz w:val="20"/>
                <w:szCs w:val="20"/>
                <w:lang w:val="en-US" w:eastAsia="zh-CN" w:bidi="ar"/>
              </w:rPr>
              <w:t xml:space="preserve"> 50,00</w:t>
            </w:r>
          </w:p>
        </w:tc>
        <w:tc>
          <w:tcPr>
            <w:tcW w:w="1336" w:type="dxa"/>
            <w:tcBorders>
              <w:top w:val="nil"/>
              <w:left w:val="nil"/>
              <w:bottom w:val="single" w:color="auto" w:sz="4" w:space="0"/>
              <w:right w:val="single" w:color="auto" w:sz="4" w:space="0"/>
            </w:tcBorders>
            <w:shd w:val="clear" w:color="auto" w:fill="auto"/>
            <w:noWrap/>
            <w:vAlign w:val="center"/>
          </w:tcPr>
          <w:p w14:paraId="18E458CA">
            <w:pPr>
              <w:jc w:val="center"/>
              <w:textAlignment w:val="center"/>
              <w:rPr>
                <w:color w:val="000000"/>
                <w:sz w:val="20"/>
                <w:szCs w:val="20"/>
              </w:rPr>
            </w:pPr>
            <w:r>
              <w:rPr>
                <w:rFonts w:eastAsia="SimSun"/>
                <w:color w:val="000000"/>
                <w:sz w:val="20"/>
                <w:szCs w:val="20"/>
                <w:lang w:val="en-US" w:eastAsia="zh-CN" w:bidi="ar"/>
              </w:rPr>
              <w:t xml:space="preserve"> 99,66</w:t>
            </w:r>
          </w:p>
        </w:tc>
      </w:tr>
      <w:tr w14:paraId="6687DDF0">
        <w:tblPrEx>
          <w:tblCellMar>
            <w:top w:w="0" w:type="dxa"/>
            <w:left w:w="108" w:type="dxa"/>
            <w:bottom w:w="0" w:type="dxa"/>
            <w:right w:w="108" w:type="dxa"/>
          </w:tblCellMar>
        </w:tblPrEx>
        <w:trPr>
          <w:trHeight w:val="178" w:hRule="atLeast"/>
        </w:trPr>
        <w:tc>
          <w:tcPr>
            <w:tcW w:w="2313" w:type="dxa"/>
            <w:tcBorders>
              <w:top w:val="nil"/>
              <w:left w:val="single" w:color="auto" w:sz="4" w:space="0"/>
              <w:bottom w:val="single" w:color="auto" w:sz="4" w:space="0"/>
              <w:right w:val="single" w:color="auto" w:sz="4" w:space="0"/>
            </w:tcBorders>
            <w:shd w:val="clear" w:color="auto" w:fill="auto"/>
            <w:vAlign w:val="center"/>
          </w:tcPr>
          <w:p w14:paraId="39267A56">
            <w:pPr>
              <w:jc w:val="both"/>
              <w:rPr>
                <w:color w:val="000000"/>
                <w:sz w:val="20"/>
                <w:szCs w:val="20"/>
              </w:rPr>
            </w:pPr>
            <w:r>
              <w:rPr>
                <w:color w:val="000000"/>
                <w:sz w:val="20"/>
                <w:szCs w:val="20"/>
              </w:rPr>
              <w:t>субсидии</w:t>
            </w:r>
          </w:p>
        </w:tc>
        <w:tc>
          <w:tcPr>
            <w:tcW w:w="1487" w:type="dxa"/>
            <w:tcBorders>
              <w:top w:val="nil"/>
              <w:left w:val="nil"/>
              <w:bottom w:val="single" w:color="auto" w:sz="4" w:space="0"/>
              <w:right w:val="single" w:color="auto" w:sz="4" w:space="0"/>
            </w:tcBorders>
            <w:shd w:val="clear" w:color="auto" w:fill="auto"/>
            <w:vAlign w:val="center"/>
          </w:tcPr>
          <w:p w14:paraId="4E2ECE8D">
            <w:pPr>
              <w:jc w:val="center"/>
              <w:textAlignment w:val="center"/>
              <w:rPr>
                <w:color w:val="000000"/>
                <w:sz w:val="20"/>
                <w:szCs w:val="20"/>
              </w:rPr>
            </w:pPr>
            <w:r>
              <w:rPr>
                <w:rFonts w:eastAsia="SimSun"/>
                <w:color w:val="000000"/>
                <w:sz w:val="20"/>
                <w:szCs w:val="20"/>
                <w:lang w:val="en-US" w:eastAsia="zh-CN" w:bidi="ar"/>
              </w:rPr>
              <w:t>57 041,74</w:t>
            </w:r>
          </w:p>
        </w:tc>
        <w:tc>
          <w:tcPr>
            <w:tcW w:w="1512" w:type="dxa"/>
            <w:tcBorders>
              <w:top w:val="nil"/>
              <w:left w:val="nil"/>
              <w:bottom w:val="single" w:color="auto" w:sz="4" w:space="0"/>
              <w:right w:val="single" w:color="auto" w:sz="4" w:space="0"/>
            </w:tcBorders>
            <w:shd w:val="clear" w:color="auto" w:fill="auto"/>
            <w:vAlign w:val="center"/>
          </w:tcPr>
          <w:p w14:paraId="1F5A261E">
            <w:pPr>
              <w:jc w:val="center"/>
              <w:textAlignment w:val="center"/>
              <w:rPr>
                <w:color w:val="000000"/>
                <w:sz w:val="20"/>
                <w:szCs w:val="20"/>
              </w:rPr>
            </w:pPr>
            <w:r>
              <w:rPr>
                <w:rFonts w:eastAsia="SimSun"/>
                <w:color w:val="000000"/>
                <w:sz w:val="20"/>
                <w:szCs w:val="20"/>
                <w:lang w:val="en-US" w:eastAsia="zh-CN" w:bidi="ar"/>
              </w:rPr>
              <w:t>113 563,7</w:t>
            </w:r>
          </w:p>
        </w:tc>
        <w:tc>
          <w:tcPr>
            <w:tcW w:w="1487" w:type="dxa"/>
            <w:tcBorders>
              <w:top w:val="nil"/>
              <w:left w:val="nil"/>
              <w:bottom w:val="single" w:color="auto" w:sz="4" w:space="0"/>
              <w:right w:val="single" w:color="auto" w:sz="4" w:space="0"/>
            </w:tcBorders>
            <w:shd w:val="clear" w:color="auto" w:fill="auto"/>
            <w:vAlign w:val="center"/>
          </w:tcPr>
          <w:p w14:paraId="5EA7FD9A">
            <w:pPr>
              <w:jc w:val="center"/>
              <w:textAlignment w:val="center"/>
              <w:rPr>
                <w:color w:val="000000"/>
                <w:sz w:val="20"/>
                <w:szCs w:val="20"/>
              </w:rPr>
            </w:pPr>
            <w:r>
              <w:rPr>
                <w:rFonts w:eastAsia="SimSun"/>
                <w:color w:val="000000"/>
                <w:sz w:val="20"/>
                <w:szCs w:val="20"/>
                <w:lang w:val="en-US" w:eastAsia="zh-CN" w:bidi="ar"/>
              </w:rPr>
              <w:t>84 407,88</w:t>
            </w:r>
          </w:p>
        </w:tc>
        <w:tc>
          <w:tcPr>
            <w:tcW w:w="1221" w:type="dxa"/>
            <w:tcBorders>
              <w:top w:val="nil"/>
              <w:left w:val="nil"/>
              <w:bottom w:val="single" w:color="auto" w:sz="4" w:space="0"/>
              <w:right w:val="single" w:color="auto" w:sz="4" w:space="0"/>
            </w:tcBorders>
            <w:shd w:val="clear" w:color="auto" w:fill="auto"/>
            <w:noWrap/>
            <w:vAlign w:val="center"/>
          </w:tcPr>
          <w:p w14:paraId="10416FD8">
            <w:pPr>
              <w:jc w:val="center"/>
              <w:textAlignment w:val="center"/>
              <w:rPr>
                <w:color w:val="000000"/>
                <w:sz w:val="20"/>
                <w:szCs w:val="20"/>
              </w:rPr>
            </w:pPr>
            <w:r>
              <w:rPr>
                <w:rFonts w:eastAsia="SimSun"/>
                <w:color w:val="000000"/>
                <w:sz w:val="20"/>
                <w:szCs w:val="20"/>
                <w:lang w:val="en-US" w:eastAsia="zh-CN" w:bidi="ar"/>
              </w:rPr>
              <w:t xml:space="preserve"> 74,33</w:t>
            </w:r>
          </w:p>
        </w:tc>
        <w:tc>
          <w:tcPr>
            <w:tcW w:w="1336" w:type="dxa"/>
            <w:tcBorders>
              <w:top w:val="nil"/>
              <w:left w:val="nil"/>
              <w:bottom w:val="single" w:color="auto" w:sz="4" w:space="0"/>
              <w:right w:val="single" w:color="auto" w:sz="4" w:space="0"/>
            </w:tcBorders>
            <w:shd w:val="clear" w:color="auto" w:fill="auto"/>
            <w:noWrap/>
            <w:vAlign w:val="center"/>
          </w:tcPr>
          <w:p w14:paraId="5A01A78F">
            <w:pPr>
              <w:jc w:val="center"/>
              <w:textAlignment w:val="center"/>
              <w:rPr>
                <w:color w:val="000000"/>
                <w:sz w:val="20"/>
                <w:szCs w:val="20"/>
              </w:rPr>
            </w:pPr>
            <w:r>
              <w:rPr>
                <w:rFonts w:eastAsia="SimSun"/>
                <w:color w:val="000000"/>
                <w:sz w:val="20"/>
                <w:szCs w:val="20"/>
                <w:lang w:val="en-US" w:eastAsia="zh-CN" w:bidi="ar"/>
              </w:rPr>
              <w:t xml:space="preserve"> 147,98</w:t>
            </w:r>
          </w:p>
        </w:tc>
      </w:tr>
      <w:tr w14:paraId="7A6C9B34">
        <w:tblPrEx>
          <w:tblCellMar>
            <w:top w:w="0" w:type="dxa"/>
            <w:left w:w="108" w:type="dxa"/>
            <w:bottom w:w="0" w:type="dxa"/>
            <w:right w:w="108" w:type="dxa"/>
          </w:tblCellMar>
        </w:tblPrEx>
        <w:trPr>
          <w:trHeight w:val="153" w:hRule="atLeast"/>
        </w:trPr>
        <w:tc>
          <w:tcPr>
            <w:tcW w:w="2313" w:type="dxa"/>
            <w:tcBorders>
              <w:top w:val="nil"/>
              <w:left w:val="single" w:color="auto" w:sz="4" w:space="0"/>
              <w:bottom w:val="single" w:color="auto" w:sz="4" w:space="0"/>
              <w:right w:val="single" w:color="auto" w:sz="4" w:space="0"/>
            </w:tcBorders>
            <w:shd w:val="clear" w:color="auto" w:fill="auto"/>
            <w:vAlign w:val="center"/>
          </w:tcPr>
          <w:p w14:paraId="7CB9EA89">
            <w:pPr>
              <w:jc w:val="both"/>
              <w:rPr>
                <w:color w:val="000000"/>
                <w:sz w:val="20"/>
                <w:szCs w:val="20"/>
              </w:rPr>
            </w:pPr>
            <w:r>
              <w:rPr>
                <w:color w:val="000000"/>
                <w:sz w:val="20"/>
                <w:szCs w:val="20"/>
              </w:rPr>
              <w:t>субвенции</w:t>
            </w:r>
          </w:p>
        </w:tc>
        <w:tc>
          <w:tcPr>
            <w:tcW w:w="1487" w:type="dxa"/>
            <w:tcBorders>
              <w:top w:val="nil"/>
              <w:left w:val="nil"/>
              <w:bottom w:val="single" w:color="auto" w:sz="4" w:space="0"/>
              <w:right w:val="single" w:color="auto" w:sz="4" w:space="0"/>
            </w:tcBorders>
            <w:shd w:val="clear" w:color="auto" w:fill="auto"/>
            <w:vAlign w:val="center"/>
          </w:tcPr>
          <w:p w14:paraId="208F4512">
            <w:pPr>
              <w:jc w:val="center"/>
              <w:textAlignment w:val="center"/>
              <w:rPr>
                <w:color w:val="000000"/>
                <w:sz w:val="20"/>
                <w:szCs w:val="20"/>
              </w:rPr>
            </w:pPr>
            <w:r>
              <w:rPr>
                <w:rFonts w:eastAsia="SimSun"/>
                <w:color w:val="000000"/>
                <w:sz w:val="20"/>
                <w:szCs w:val="20"/>
                <w:lang w:val="en-US" w:eastAsia="zh-CN" w:bidi="ar"/>
              </w:rPr>
              <w:t>436 116,01</w:t>
            </w:r>
          </w:p>
        </w:tc>
        <w:tc>
          <w:tcPr>
            <w:tcW w:w="1512" w:type="dxa"/>
            <w:tcBorders>
              <w:top w:val="nil"/>
              <w:left w:val="nil"/>
              <w:bottom w:val="single" w:color="auto" w:sz="4" w:space="0"/>
              <w:right w:val="single" w:color="auto" w:sz="4" w:space="0"/>
            </w:tcBorders>
            <w:shd w:val="clear" w:color="auto" w:fill="auto"/>
            <w:vAlign w:val="center"/>
          </w:tcPr>
          <w:p w14:paraId="4481A905">
            <w:pPr>
              <w:jc w:val="center"/>
              <w:textAlignment w:val="center"/>
              <w:rPr>
                <w:color w:val="000000"/>
                <w:sz w:val="20"/>
                <w:szCs w:val="20"/>
              </w:rPr>
            </w:pPr>
            <w:r>
              <w:rPr>
                <w:rFonts w:eastAsia="SimSun"/>
                <w:color w:val="000000"/>
                <w:sz w:val="20"/>
                <w:szCs w:val="20"/>
                <w:lang w:val="en-US" w:eastAsia="zh-CN" w:bidi="ar"/>
              </w:rPr>
              <w:t>872 691,0</w:t>
            </w:r>
          </w:p>
        </w:tc>
        <w:tc>
          <w:tcPr>
            <w:tcW w:w="1487" w:type="dxa"/>
            <w:tcBorders>
              <w:top w:val="nil"/>
              <w:left w:val="nil"/>
              <w:bottom w:val="single" w:color="auto" w:sz="4" w:space="0"/>
              <w:right w:val="single" w:color="auto" w:sz="4" w:space="0"/>
            </w:tcBorders>
            <w:shd w:val="clear" w:color="auto" w:fill="auto"/>
            <w:vAlign w:val="center"/>
          </w:tcPr>
          <w:p w14:paraId="5F1CF5F6">
            <w:pPr>
              <w:jc w:val="center"/>
              <w:textAlignment w:val="center"/>
              <w:rPr>
                <w:color w:val="000000"/>
                <w:sz w:val="20"/>
                <w:szCs w:val="20"/>
              </w:rPr>
            </w:pPr>
            <w:r>
              <w:rPr>
                <w:rFonts w:eastAsia="SimSun"/>
                <w:color w:val="000000"/>
                <w:sz w:val="20"/>
                <w:szCs w:val="20"/>
                <w:lang w:val="en-US" w:eastAsia="zh-CN" w:bidi="ar"/>
              </w:rPr>
              <w:t>527 079,65</w:t>
            </w:r>
          </w:p>
        </w:tc>
        <w:tc>
          <w:tcPr>
            <w:tcW w:w="1221" w:type="dxa"/>
            <w:tcBorders>
              <w:top w:val="nil"/>
              <w:left w:val="nil"/>
              <w:bottom w:val="single" w:color="auto" w:sz="4" w:space="0"/>
              <w:right w:val="single" w:color="auto" w:sz="4" w:space="0"/>
            </w:tcBorders>
            <w:shd w:val="clear" w:color="auto" w:fill="auto"/>
            <w:noWrap/>
            <w:vAlign w:val="center"/>
          </w:tcPr>
          <w:p w14:paraId="71CF9E52">
            <w:pPr>
              <w:jc w:val="center"/>
              <w:textAlignment w:val="center"/>
              <w:rPr>
                <w:color w:val="000000"/>
                <w:sz w:val="20"/>
                <w:szCs w:val="20"/>
              </w:rPr>
            </w:pPr>
            <w:r>
              <w:rPr>
                <w:rFonts w:eastAsia="SimSun"/>
                <w:color w:val="000000"/>
                <w:sz w:val="20"/>
                <w:szCs w:val="20"/>
                <w:lang w:val="en-US" w:eastAsia="zh-CN" w:bidi="ar"/>
              </w:rPr>
              <w:t xml:space="preserve"> 60,40</w:t>
            </w:r>
          </w:p>
        </w:tc>
        <w:tc>
          <w:tcPr>
            <w:tcW w:w="1336" w:type="dxa"/>
            <w:tcBorders>
              <w:top w:val="nil"/>
              <w:left w:val="nil"/>
              <w:bottom w:val="single" w:color="auto" w:sz="4" w:space="0"/>
              <w:right w:val="single" w:color="auto" w:sz="4" w:space="0"/>
            </w:tcBorders>
            <w:shd w:val="clear" w:color="auto" w:fill="auto"/>
            <w:noWrap/>
            <w:vAlign w:val="center"/>
          </w:tcPr>
          <w:p w14:paraId="3ACCE318">
            <w:pPr>
              <w:jc w:val="center"/>
              <w:textAlignment w:val="center"/>
              <w:rPr>
                <w:color w:val="000000"/>
                <w:sz w:val="20"/>
                <w:szCs w:val="20"/>
              </w:rPr>
            </w:pPr>
            <w:r>
              <w:rPr>
                <w:rFonts w:eastAsia="SimSun"/>
                <w:color w:val="000000"/>
                <w:sz w:val="20"/>
                <w:szCs w:val="20"/>
                <w:lang w:val="en-US" w:eastAsia="zh-CN" w:bidi="ar"/>
              </w:rPr>
              <w:t xml:space="preserve"> 120,86</w:t>
            </w:r>
          </w:p>
        </w:tc>
      </w:tr>
      <w:tr w14:paraId="2F49F618">
        <w:tblPrEx>
          <w:tblCellMar>
            <w:top w:w="0" w:type="dxa"/>
            <w:left w:w="108" w:type="dxa"/>
            <w:bottom w:w="0" w:type="dxa"/>
            <w:right w:w="108" w:type="dxa"/>
          </w:tblCellMar>
        </w:tblPrEx>
        <w:trPr>
          <w:trHeight w:val="300" w:hRule="atLeast"/>
        </w:trPr>
        <w:tc>
          <w:tcPr>
            <w:tcW w:w="2313" w:type="dxa"/>
            <w:tcBorders>
              <w:top w:val="nil"/>
              <w:left w:val="single" w:color="auto" w:sz="4" w:space="0"/>
              <w:bottom w:val="single" w:color="auto" w:sz="4" w:space="0"/>
              <w:right w:val="single" w:color="auto" w:sz="4" w:space="0"/>
            </w:tcBorders>
            <w:shd w:val="clear" w:color="auto" w:fill="auto"/>
            <w:vAlign w:val="center"/>
          </w:tcPr>
          <w:p w14:paraId="14BF2DDC">
            <w:pPr>
              <w:jc w:val="both"/>
              <w:rPr>
                <w:color w:val="000000"/>
                <w:sz w:val="20"/>
                <w:szCs w:val="20"/>
              </w:rPr>
            </w:pPr>
            <w:r>
              <w:rPr>
                <w:color w:val="000000"/>
                <w:sz w:val="20"/>
                <w:szCs w:val="20"/>
              </w:rPr>
              <w:t>иные межбюджетные трансферты</w:t>
            </w:r>
          </w:p>
        </w:tc>
        <w:tc>
          <w:tcPr>
            <w:tcW w:w="1487" w:type="dxa"/>
            <w:tcBorders>
              <w:top w:val="nil"/>
              <w:left w:val="nil"/>
              <w:bottom w:val="single" w:color="auto" w:sz="4" w:space="0"/>
              <w:right w:val="single" w:color="auto" w:sz="4" w:space="0"/>
            </w:tcBorders>
            <w:shd w:val="clear" w:color="auto" w:fill="auto"/>
            <w:vAlign w:val="center"/>
          </w:tcPr>
          <w:p w14:paraId="0BA4BD4E">
            <w:pPr>
              <w:jc w:val="center"/>
              <w:textAlignment w:val="center"/>
              <w:rPr>
                <w:color w:val="000000"/>
                <w:sz w:val="20"/>
                <w:szCs w:val="20"/>
              </w:rPr>
            </w:pPr>
            <w:r>
              <w:rPr>
                <w:rFonts w:eastAsia="SimSun"/>
                <w:color w:val="000000"/>
                <w:sz w:val="20"/>
                <w:szCs w:val="20"/>
                <w:lang w:val="en-US" w:eastAsia="zh-CN" w:bidi="ar"/>
              </w:rPr>
              <w:t>56 672,63</w:t>
            </w:r>
          </w:p>
        </w:tc>
        <w:tc>
          <w:tcPr>
            <w:tcW w:w="1512" w:type="dxa"/>
            <w:tcBorders>
              <w:top w:val="nil"/>
              <w:left w:val="nil"/>
              <w:bottom w:val="single" w:color="auto" w:sz="4" w:space="0"/>
              <w:right w:val="single" w:color="auto" w:sz="4" w:space="0"/>
            </w:tcBorders>
            <w:shd w:val="clear" w:color="auto" w:fill="auto"/>
            <w:vAlign w:val="center"/>
          </w:tcPr>
          <w:p w14:paraId="44C66C0A">
            <w:pPr>
              <w:jc w:val="center"/>
              <w:textAlignment w:val="center"/>
              <w:rPr>
                <w:color w:val="000000"/>
                <w:sz w:val="20"/>
                <w:szCs w:val="20"/>
              </w:rPr>
            </w:pPr>
            <w:r>
              <w:rPr>
                <w:rFonts w:eastAsia="SimSun"/>
                <w:color w:val="000000"/>
                <w:sz w:val="20"/>
                <w:szCs w:val="20"/>
                <w:lang w:val="en-US" w:eastAsia="zh-CN" w:bidi="ar"/>
              </w:rPr>
              <w:t>154 806,1</w:t>
            </w:r>
          </w:p>
        </w:tc>
        <w:tc>
          <w:tcPr>
            <w:tcW w:w="1487" w:type="dxa"/>
            <w:tcBorders>
              <w:top w:val="nil"/>
              <w:left w:val="nil"/>
              <w:bottom w:val="single" w:color="auto" w:sz="4" w:space="0"/>
              <w:right w:val="single" w:color="auto" w:sz="4" w:space="0"/>
            </w:tcBorders>
            <w:shd w:val="clear" w:color="auto" w:fill="auto"/>
            <w:vAlign w:val="center"/>
          </w:tcPr>
          <w:p w14:paraId="50A93E74">
            <w:pPr>
              <w:jc w:val="center"/>
              <w:textAlignment w:val="center"/>
              <w:rPr>
                <w:color w:val="000000"/>
                <w:sz w:val="20"/>
                <w:szCs w:val="20"/>
              </w:rPr>
            </w:pPr>
            <w:r>
              <w:rPr>
                <w:rFonts w:eastAsia="SimSun"/>
                <w:color w:val="000000"/>
                <w:sz w:val="20"/>
                <w:szCs w:val="20"/>
                <w:lang w:val="en-US" w:eastAsia="zh-CN" w:bidi="ar"/>
              </w:rPr>
              <w:t>133 929,58</w:t>
            </w:r>
          </w:p>
        </w:tc>
        <w:tc>
          <w:tcPr>
            <w:tcW w:w="1221" w:type="dxa"/>
            <w:tcBorders>
              <w:top w:val="nil"/>
              <w:left w:val="nil"/>
              <w:bottom w:val="single" w:color="auto" w:sz="4" w:space="0"/>
              <w:right w:val="single" w:color="auto" w:sz="4" w:space="0"/>
            </w:tcBorders>
            <w:shd w:val="clear" w:color="auto" w:fill="auto"/>
            <w:noWrap/>
            <w:vAlign w:val="center"/>
          </w:tcPr>
          <w:p w14:paraId="4E85DC1F">
            <w:pPr>
              <w:jc w:val="center"/>
              <w:textAlignment w:val="center"/>
              <w:rPr>
                <w:color w:val="000000"/>
                <w:sz w:val="20"/>
                <w:szCs w:val="20"/>
              </w:rPr>
            </w:pPr>
            <w:r>
              <w:rPr>
                <w:rFonts w:eastAsia="SimSun"/>
                <w:color w:val="000000"/>
                <w:sz w:val="20"/>
                <w:szCs w:val="20"/>
                <w:lang w:val="en-US" w:eastAsia="zh-CN" w:bidi="ar"/>
              </w:rPr>
              <w:t xml:space="preserve"> 86,51</w:t>
            </w:r>
          </w:p>
        </w:tc>
        <w:tc>
          <w:tcPr>
            <w:tcW w:w="1336" w:type="dxa"/>
            <w:tcBorders>
              <w:top w:val="nil"/>
              <w:left w:val="nil"/>
              <w:bottom w:val="single" w:color="auto" w:sz="4" w:space="0"/>
              <w:right w:val="single" w:color="auto" w:sz="4" w:space="0"/>
            </w:tcBorders>
            <w:shd w:val="clear" w:color="auto" w:fill="auto"/>
            <w:noWrap/>
            <w:vAlign w:val="center"/>
          </w:tcPr>
          <w:p w14:paraId="24EB63B8">
            <w:pPr>
              <w:jc w:val="center"/>
              <w:textAlignment w:val="center"/>
              <w:rPr>
                <w:color w:val="000000"/>
                <w:sz w:val="20"/>
                <w:szCs w:val="20"/>
              </w:rPr>
            </w:pPr>
            <w:r>
              <w:rPr>
                <w:rFonts w:eastAsia="SimSun"/>
                <w:color w:val="000000"/>
                <w:sz w:val="20"/>
                <w:szCs w:val="20"/>
                <w:lang w:val="en-US" w:eastAsia="zh-CN" w:bidi="ar"/>
              </w:rPr>
              <w:t xml:space="preserve"> 236,32</w:t>
            </w:r>
          </w:p>
        </w:tc>
      </w:tr>
      <w:tr w14:paraId="5CF6AF5E">
        <w:tblPrEx>
          <w:tblCellMar>
            <w:top w:w="0" w:type="dxa"/>
            <w:left w:w="108" w:type="dxa"/>
            <w:bottom w:w="0" w:type="dxa"/>
            <w:right w:w="108" w:type="dxa"/>
          </w:tblCellMar>
        </w:tblPrEx>
        <w:trPr>
          <w:trHeight w:val="363" w:hRule="atLeast"/>
        </w:trPr>
        <w:tc>
          <w:tcPr>
            <w:tcW w:w="2313" w:type="dxa"/>
            <w:tcBorders>
              <w:top w:val="nil"/>
              <w:left w:val="single" w:color="auto" w:sz="4" w:space="0"/>
              <w:bottom w:val="single" w:color="auto" w:sz="4" w:space="0"/>
              <w:right w:val="single" w:color="auto" w:sz="4" w:space="0"/>
            </w:tcBorders>
            <w:shd w:val="clear" w:color="auto" w:fill="auto"/>
            <w:vAlign w:val="center"/>
          </w:tcPr>
          <w:p w14:paraId="69044000">
            <w:pPr>
              <w:jc w:val="both"/>
              <w:rPr>
                <w:color w:val="000000"/>
                <w:sz w:val="20"/>
                <w:szCs w:val="20"/>
              </w:rPr>
            </w:pPr>
            <w:r>
              <w:rPr>
                <w:color w:val="000000"/>
                <w:sz w:val="20"/>
                <w:szCs w:val="20"/>
              </w:rPr>
              <w:t>прочие безвозмездные поступления в бюджет</w:t>
            </w:r>
          </w:p>
        </w:tc>
        <w:tc>
          <w:tcPr>
            <w:tcW w:w="1487" w:type="dxa"/>
            <w:tcBorders>
              <w:top w:val="nil"/>
              <w:left w:val="nil"/>
              <w:bottom w:val="single" w:color="auto" w:sz="4" w:space="0"/>
              <w:right w:val="single" w:color="auto" w:sz="4" w:space="0"/>
            </w:tcBorders>
            <w:shd w:val="clear" w:color="auto" w:fill="auto"/>
            <w:vAlign w:val="center"/>
          </w:tcPr>
          <w:p w14:paraId="43E5642D">
            <w:pPr>
              <w:jc w:val="center"/>
              <w:textAlignment w:val="center"/>
              <w:rPr>
                <w:color w:val="000000"/>
                <w:sz w:val="20"/>
                <w:szCs w:val="20"/>
              </w:rPr>
            </w:pPr>
            <w:r>
              <w:rPr>
                <w:rFonts w:eastAsia="SimSun"/>
                <w:color w:val="000000"/>
                <w:sz w:val="20"/>
                <w:szCs w:val="20"/>
                <w:lang w:val="en-US" w:eastAsia="zh-CN" w:bidi="ar"/>
              </w:rPr>
              <w:t>1 301,83</w:t>
            </w:r>
          </w:p>
        </w:tc>
        <w:tc>
          <w:tcPr>
            <w:tcW w:w="1512" w:type="dxa"/>
            <w:tcBorders>
              <w:top w:val="nil"/>
              <w:left w:val="nil"/>
              <w:bottom w:val="single" w:color="auto" w:sz="4" w:space="0"/>
              <w:right w:val="single" w:color="auto" w:sz="4" w:space="0"/>
            </w:tcBorders>
            <w:shd w:val="clear" w:color="auto" w:fill="auto"/>
            <w:vAlign w:val="center"/>
          </w:tcPr>
          <w:p w14:paraId="0ECD7005">
            <w:pPr>
              <w:jc w:val="center"/>
              <w:textAlignment w:val="center"/>
              <w:rPr>
                <w:color w:val="000000"/>
                <w:sz w:val="20"/>
                <w:szCs w:val="20"/>
              </w:rPr>
            </w:pPr>
            <w:r>
              <w:rPr>
                <w:rFonts w:eastAsia="SimSun"/>
                <w:color w:val="000000"/>
                <w:sz w:val="20"/>
                <w:szCs w:val="20"/>
                <w:lang w:val="en-US" w:eastAsia="zh-CN" w:bidi="ar"/>
              </w:rPr>
              <w:t>2 350,0</w:t>
            </w:r>
          </w:p>
        </w:tc>
        <w:tc>
          <w:tcPr>
            <w:tcW w:w="1487" w:type="dxa"/>
            <w:tcBorders>
              <w:top w:val="nil"/>
              <w:left w:val="nil"/>
              <w:bottom w:val="single" w:color="auto" w:sz="4" w:space="0"/>
              <w:right w:val="single" w:color="auto" w:sz="4" w:space="0"/>
            </w:tcBorders>
            <w:shd w:val="clear" w:color="auto" w:fill="auto"/>
            <w:vAlign w:val="center"/>
          </w:tcPr>
          <w:p w14:paraId="63958B94">
            <w:pPr>
              <w:jc w:val="center"/>
              <w:textAlignment w:val="center"/>
              <w:rPr>
                <w:color w:val="000000"/>
                <w:sz w:val="20"/>
                <w:szCs w:val="20"/>
              </w:rPr>
            </w:pPr>
            <w:r>
              <w:rPr>
                <w:rFonts w:eastAsia="SimSun"/>
                <w:color w:val="000000"/>
                <w:sz w:val="20"/>
                <w:szCs w:val="20"/>
                <w:lang w:val="en-US" w:eastAsia="zh-CN" w:bidi="ar"/>
              </w:rPr>
              <w:t>7 830,17</w:t>
            </w:r>
          </w:p>
        </w:tc>
        <w:tc>
          <w:tcPr>
            <w:tcW w:w="1221" w:type="dxa"/>
            <w:tcBorders>
              <w:top w:val="nil"/>
              <w:left w:val="nil"/>
              <w:bottom w:val="single" w:color="auto" w:sz="4" w:space="0"/>
              <w:right w:val="single" w:color="auto" w:sz="4" w:space="0"/>
            </w:tcBorders>
            <w:shd w:val="clear" w:color="auto" w:fill="auto"/>
            <w:noWrap/>
            <w:vAlign w:val="center"/>
          </w:tcPr>
          <w:p w14:paraId="7878A60C">
            <w:pPr>
              <w:jc w:val="center"/>
              <w:textAlignment w:val="center"/>
              <w:rPr>
                <w:color w:val="000000"/>
                <w:sz w:val="20"/>
                <w:szCs w:val="20"/>
              </w:rPr>
            </w:pPr>
            <w:r>
              <w:rPr>
                <w:rFonts w:eastAsia="SimSun"/>
                <w:color w:val="000000"/>
                <w:sz w:val="20"/>
                <w:szCs w:val="20"/>
                <w:lang w:val="en-US" w:eastAsia="zh-CN" w:bidi="ar"/>
              </w:rPr>
              <w:t xml:space="preserve"> 333,20</w:t>
            </w:r>
          </w:p>
        </w:tc>
        <w:tc>
          <w:tcPr>
            <w:tcW w:w="1336" w:type="dxa"/>
            <w:tcBorders>
              <w:top w:val="nil"/>
              <w:left w:val="nil"/>
              <w:bottom w:val="single" w:color="auto" w:sz="4" w:space="0"/>
              <w:right w:val="single" w:color="auto" w:sz="4" w:space="0"/>
            </w:tcBorders>
            <w:shd w:val="clear" w:color="auto" w:fill="auto"/>
            <w:noWrap/>
            <w:vAlign w:val="center"/>
          </w:tcPr>
          <w:p w14:paraId="2102191B">
            <w:pPr>
              <w:jc w:val="center"/>
              <w:textAlignment w:val="center"/>
              <w:rPr>
                <w:color w:val="000000"/>
                <w:sz w:val="20"/>
                <w:szCs w:val="20"/>
              </w:rPr>
            </w:pPr>
            <w:r>
              <w:rPr>
                <w:rFonts w:eastAsia="SimSun"/>
                <w:color w:val="000000"/>
                <w:sz w:val="20"/>
                <w:szCs w:val="20"/>
                <w:lang w:val="en-US" w:eastAsia="zh-CN" w:bidi="ar"/>
              </w:rPr>
              <w:t xml:space="preserve"> 601,47</w:t>
            </w:r>
          </w:p>
        </w:tc>
      </w:tr>
      <w:tr w14:paraId="761A5EAF">
        <w:tblPrEx>
          <w:tblCellMar>
            <w:top w:w="0" w:type="dxa"/>
            <w:left w:w="108" w:type="dxa"/>
            <w:bottom w:w="0" w:type="dxa"/>
            <w:right w:w="108" w:type="dxa"/>
          </w:tblCellMar>
        </w:tblPrEx>
        <w:trPr>
          <w:trHeight w:val="239" w:hRule="atLeast"/>
        </w:trPr>
        <w:tc>
          <w:tcPr>
            <w:tcW w:w="2313" w:type="dxa"/>
            <w:tcBorders>
              <w:top w:val="nil"/>
              <w:left w:val="single" w:color="auto" w:sz="4" w:space="0"/>
              <w:bottom w:val="single" w:color="auto" w:sz="4" w:space="0"/>
              <w:right w:val="single" w:color="auto" w:sz="4" w:space="0"/>
            </w:tcBorders>
            <w:shd w:val="clear" w:color="auto" w:fill="auto"/>
            <w:vAlign w:val="center"/>
          </w:tcPr>
          <w:p w14:paraId="63829126">
            <w:pPr>
              <w:jc w:val="both"/>
              <w:rPr>
                <w:color w:val="000000"/>
                <w:sz w:val="20"/>
                <w:szCs w:val="20"/>
              </w:rPr>
            </w:pPr>
            <w:r>
              <w:rPr>
                <w:color w:val="000000"/>
                <w:sz w:val="20"/>
                <w:szCs w:val="20"/>
              </w:rPr>
              <w:t>доходы от возврата остатков</w:t>
            </w:r>
          </w:p>
        </w:tc>
        <w:tc>
          <w:tcPr>
            <w:tcW w:w="1487" w:type="dxa"/>
            <w:tcBorders>
              <w:top w:val="nil"/>
              <w:left w:val="nil"/>
              <w:bottom w:val="single" w:color="auto" w:sz="4" w:space="0"/>
              <w:right w:val="single" w:color="auto" w:sz="4" w:space="0"/>
            </w:tcBorders>
            <w:shd w:val="clear" w:color="auto" w:fill="auto"/>
            <w:vAlign w:val="center"/>
          </w:tcPr>
          <w:p w14:paraId="628DE16B">
            <w:pPr>
              <w:jc w:val="center"/>
              <w:textAlignment w:val="center"/>
              <w:rPr>
                <w:color w:val="000000"/>
                <w:sz w:val="20"/>
                <w:szCs w:val="20"/>
              </w:rPr>
            </w:pPr>
            <w:r>
              <w:rPr>
                <w:rFonts w:eastAsia="SimSun"/>
                <w:color w:val="000000"/>
                <w:sz w:val="20"/>
                <w:szCs w:val="20"/>
                <w:lang w:val="en-US" w:eastAsia="zh-CN" w:bidi="ar"/>
              </w:rPr>
              <w:t>1 195,86</w:t>
            </w:r>
          </w:p>
        </w:tc>
        <w:tc>
          <w:tcPr>
            <w:tcW w:w="1512" w:type="dxa"/>
            <w:tcBorders>
              <w:top w:val="nil"/>
              <w:left w:val="nil"/>
              <w:bottom w:val="single" w:color="auto" w:sz="4" w:space="0"/>
              <w:right w:val="single" w:color="auto" w:sz="4" w:space="0"/>
            </w:tcBorders>
            <w:shd w:val="clear" w:color="auto" w:fill="auto"/>
            <w:vAlign w:val="center"/>
          </w:tcPr>
          <w:p w14:paraId="7037BD4C">
            <w:pPr>
              <w:jc w:val="center"/>
              <w:textAlignment w:val="center"/>
              <w:rPr>
                <w:color w:val="000000"/>
                <w:sz w:val="20"/>
                <w:szCs w:val="20"/>
              </w:rPr>
            </w:pPr>
            <w:r>
              <w:rPr>
                <w:rFonts w:eastAsia="SimSun"/>
                <w:color w:val="000000"/>
                <w:sz w:val="20"/>
                <w:szCs w:val="20"/>
                <w:lang w:val="en-US" w:eastAsia="zh-CN" w:bidi="ar"/>
              </w:rPr>
              <w:t>2 278,3</w:t>
            </w:r>
          </w:p>
        </w:tc>
        <w:tc>
          <w:tcPr>
            <w:tcW w:w="1487" w:type="dxa"/>
            <w:tcBorders>
              <w:top w:val="nil"/>
              <w:left w:val="nil"/>
              <w:bottom w:val="single" w:color="auto" w:sz="4" w:space="0"/>
              <w:right w:val="single" w:color="auto" w:sz="4" w:space="0"/>
            </w:tcBorders>
            <w:shd w:val="clear" w:color="auto" w:fill="auto"/>
            <w:vAlign w:val="center"/>
          </w:tcPr>
          <w:p w14:paraId="6494F8DA">
            <w:pPr>
              <w:jc w:val="center"/>
              <w:textAlignment w:val="center"/>
              <w:rPr>
                <w:color w:val="000000"/>
                <w:sz w:val="20"/>
                <w:szCs w:val="20"/>
              </w:rPr>
            </w:pPr>
            <w:r>
              <w:rPr>
                <w:rFonts w:eastAsia="SimSun"/>
                <w:color w:val="000000"/>
                <w:sz w:val="20"/>
                <w:szCs w:val="20"/>
                <w:lang w:val="en-US" w:eastAsia="zh-CN" w:bidi="ar"/>
              </w:rPr>
              <w:t>2 278,32</w:t>
            </w:r>
          </w:p>
        </w:tc>
        <w:tc>
          <w:tcPr>
            <w:tcW w:w="1221" w:type="dxa"/>
            <w:tcBorders>
              <w:top w:val="nil"/>
              <w:left w:val="nil"/>
              <w:bottom w:val="single" w:color="auto" w:sz="4" w:space="0"/>
              <w:right w:val="single" w:color="auto" w:sz="4" w:space="0"/>
            </w:tcBorders>
            <w:shd w:val="clear" w:color="auto" w:fill="auto"/>
            <w:noWrap/>
            <w:vAlign w:val="center"/>
          </w:tcPr>
          <w:p w14:paraId="22C2B154">
            <w:pPr>
              <w:jc w:val="center"/>
              <w:textAlignment w:val="center"/>
              <w:rPr>
                <w:color w:val="000000"/>
                <w:sz w:val="20"/>
                <w:szCs w:val="20"/>
              </w:rPr>
            </w:pPr>
            <w:r>
              <w:rPr>
                <w:rFonts w:eastAsia="SimSun"/>
                <w:color w:val="000000"/>
                <w:sz w:val="20"/>
                <w:szCs w:val="20"/>
                <w:lang w:val="en-US" w:eastAsia="zh-CN" w:bidi="ar"/>
              </w:rPr>
              <w:t xml:space="preserve"> 100,00</w:t>
            </w:r>
          </w:p>
        </w:tc>
        <w:tc>
          <w:tcPr>
            <w:tcW w:w="1336" w:type="dxa"/>
            <w:tcBorders>
              <w:top w:val="nil"/>
              <w:left w:val="nil"/>
              <w:bottom w:val="single" w:color="auto" w:sz="4" w:space="0"/>
              <w:right w:val="single" w:color="auto" w:sz="4" w:space="0"/>
            </w:tcBorders>
            <w:shd w:val="clear" w:color="auto" w:fill="auto"/>
            <w:noWrap/>
            <w:vAlign w:val="center"/>
          </w:tcPr>
          <w:p w14:paraId="62F5CFA5">
            <w:pPr>
              <w:jc w:val="center"/>
              <w:textAlignment w:val="center"/>
              <w:rPr>
                <w:color w:val="000000"/>
                <w:sz w:val="20"/>
                <w:szCs w:val="20"/>
              </w:rPr>
            </w:pPr>
            <w:r>
              <w:rPr>
                <w:rFonts w:eastAsia="SimSun"/>
                <w:color w:val="000000"/>
                <w:sz w:val="20"/>
                <w:szCs w:val="20"/>
                <w:lang w:val="en-US" w:eastAsia="zh-CN" w:bidi="ar"/>
              </w:rPr>
              <w:t xml:space="preserve"> 190,52</w:t>
            </w:r>
          </w:p>
        </w:tc>
      </w:tr>
      <w:tr w14:paraId="44583FEB">
        <w:tblPrEx>
          <w:tblCellMar>
            <w:top w:w="0" w:type="dxa"/>
            <w:left w:w="108" w:type="dxa"/>
            <w:bottom w:w="0" w:type="dxa"/>
            <w:right w:w="108" w:type="dxa"/>
          </w:tblCellMar>
        </w:tblPrEx>
        <w:trPr>
          <w:trHeight w:val="300" w:hRule="atLeast"/>
        </w:trPr>
        <w:tc>
          <w:tcPr>
            <w:tcW w:w="2313" w:type="dxa"/>
            <w:tcBorders>
              <w:top w:val="nil"/>
              <w:left w:val="single" w:color="auto" w:sz="4" w:space="0"/>
              <w:bottom w:val="single" w:color="auto" w:sz="4" w:space="0"/>
              <w:right w:val="single" w:color="auto" w:sz="4" w:space="0"/>
            </w:tcBorders>
            <w:shd w:val="clear" w:color="auto" w:fill="auto"/>
            <w:vAlign w:val="center"/>
          </w:tcPr>
          <w:p w14:paraId="76F2BFD0">
            <w:pPr>
              <w:jc w:val="both"/>
              <w:rPr>
                <w:color w:val="000000"/>
                <w:sz w:val="20"/>
                <w:szCs w:val="20"/>
              </w:rPr>
            </w:pPr>
            <w:r>
              <w:rPr>
                <w:color w:val="000000"/>
                <w:sz w:val="20"/>
                <w:szCs w:val="20"/>
              </w:rPr>
              <w:t>возврат остатков</w:t>
            </w:r>
          </w:p>
        </w:tc>
        <w:tc>
          <w:tcPr>
            <w:tcW w:w="1487" w:type="dxa"/>
            <w:tcBorders>
              <w:top w:val="nil"/>
              <w:left w:val="nil"/>
              <w:bottom w:val="single" w:color="auto" w:sz="4" w:space="0"/>
              <w:right w:val="single" w:color="auto" w:sz="4" w:space="0"/>
            </w:tcBorders>
            <w:shd w:val="clear" w:color="auto" w:fill="auto"/>
            <w:vAlign w:val="center"/>
          </w:tcPr>
          <w:p w14:paraId="6942F888">
            <w:pPr>
              <w:jc w:val="center"/>
              <w:textAlignment w:val="center"/>
              <w:rPr>
                <w:color w:val="000000"/>
                <w:sz w:val="20"/>
                <w:szCs w:val="20"/>
              </w:rPr>
            </w:pPr>
            <w:r>
              <w:rPr>
                <w:rFonts w:eastAsia="SimSun"/>
                <w:color w:val="000000"/>
                <w:sz w:val="20"/>
                <w:szCs w:val="20"/>
                <w:lang w:val="en-US" w:eastAsia="zh-CN" w:bidi="ar"/>
              </w:rPr>
              <w:t>-1 205,34</w:t>
            </w:r>
          </w:p>
        </w:tc>
        <w:tc>
          <w:tcPr>
            <w:tcW w:w="1512" w:type="dxa"/>
            <w:tcBorders>
              <w:top w:val="nil"/>
              <w:left w:val="nil"/>
              <w:bottom w:val="single" w:color="auto" w:sz="4" w:space="0"/>
              <w:right w:val="single" w:color="auto" w:sz="4" w:space="0"/>
            </w:tcBorders>
            <w:shd w:val="clear" w:color="auto" w:fill="auto"/>
            <w:vAlign w:val="center"/>
          </w:tcPr>
          <w:p w14:paraId="3ECA7176">
            <w:pPr>
              <w:jc w:val="center"/>
              <w:textAlignment w:val="center"/>
              <w:rPr>
                <w:color w:val="000000"/>
                <w:sz w:val="20"/>
                <w:szCs w:val="20"/>
              </w:rPr>
            </w:pPr>
            <w:r>
              <w:rPr>
                <w:rFonts w:eastAsia="SimSun"/>
                <w:color w:val="000000"/>
                <w:sz w:val="20"/>
                <w:szCs w:val="20"/>
                <w:lang w:val="en-US" w:eastAsia="zh-CN" w:bidi="ar"/>
              </w:rPr>
              <w:t>-2 373,35</w:t>
            </w:r>
          </w:p>
        </w:tc>
        <w:tc>
          <w:tcPr>
            <w:tcW w:w="1487" w:type="dxa"/>
            <w:tcBorders>
              <w:top w:val="nil"/>
              <w:left w:val="nil"/>
              <w:bottom w:val="single" w:color="auto" w:sz="4" w:space="0"/>
              <w:right w:val="single" w:color="auto" w:sz="4" w:space="0"/>
            </w:tcBorders>
            <w:shd w:val="clear" w:color="auto" w:fill="auto"/>
            <w:vAlign w:val="center"/>
          </w:tcPr>
          <w:p w14:paraId="697BE441">
            <w:pPr>
              <w:jc w:val="center"/>
              <w:textAlignment w:val="center"/>
              <w:rPr>
                <w:color w:val="000000"/>
                <w:sz w:val="20"/>
                <w:szCs w:val="20"/>
              </w:rPr>
            </w:pPr>
            <w:r>
              <w:rPr>
                <w:rFonts w:eastAsia="SimSun"/>
                <w:color w:val="000000"/>
                <w:sz w:val="20"/>
                <w:szCs w:val="20"/>
                <w:lang w:val="en-US" w:eastAsia="zh-CN" w:bidi="ar"/>
              </w:rPr>
              <w:t>-2 597,45</w:t>
            </w:r>
          </w:p>
        </w:tc>
        <w:tc>
          <w:tcPr>
            <w:tcW w:w="1221" w:type="dxa"/>
            <w:tcBorders>
              <w:top w:val="nil"/>
              <w:left w:val="nil"/>
              <w:bottom w:val="single" w:color="auto" w:sz="4" w:space="0"/>
              <w:right w:val="single" w:color="auto" w:sz="4" w:space="0"/>
            </w:tcBorders>
            <w:shd w:val="clear" w:color="auto" w:fill="auto"/>
            <w:noWrap/>
            <w:vAlign w:val="center"/>
          </w:tcPr>
          <w:p w14:paraId="40EAB201">
            <w:pPr>
              <w:jc w:val="center"/>
              <w:textAlignment w:val="center"/>
              <w:rPr>
                <w:color w:val="000000"/>
                <w:sz w:val="20"/>
                <w:szCs w:val="20"/>
              </w:rPr>
            </w:pPr>
            <w:r>
              <w:rPr>
                <w:rFonts w:eastAsia="SimSun"/>
                <w:color w:val="000000"/>
                <w:sz w:val="20"/>
                <w:szCs w:val="20"/>
                <w:lang w:val="en-US" w:eastAsia="zh-CN" w:bidi="ar"/>
              </w:rPr>
              <w:t>х</w:t>
            </w:r>
          </w:p>
        </w:tc>
        <w:tc>
          <w:tcPr>
            <w:tcW w:w="1336" w:type="dxa"/>
            <w:tcBorders>
              <w:top w:val="nil"/>
              <w:left w:val="nil"/>
              <w:bottom w:val="single" w:color="auto" w:sz="4" w:space="0"/>
              <w:right w:val="single" w:color="auto" w:sz="4" w:space="0"/>
            </w:tcBorders>
            <w:shd w:val="clear" w:color="auto" w:fill="auto"/>
            <w:noWrap/>
            <w:vAlign w:val="center"/>
          </w:tcPr>
          <w:p w14:paraId="008CB35A">
            <w:pPr>
              <w:jc w:val="center"/>
              <w:textAlignment w:val="center"/>
              <w:rPr>
                <w:color w:val="000000"/>
                <w:sz w:val="20"/>
                <w:szCs w:val="20"/>
              </w:rPr>
            </w:pPr>
            <w:r>
              <w:rPr>
                <w:rFonts w:eastAsia="SimSun"/>
                <w:color w:val="000000"/>
                <w:sz w:val="20"/>
                <w:szCs w:val="20"/>
                <w:lang w:val="en-US" w:eastAsia="zh-CN" w:bidi="ar"/>
              </w:rPr>
              <w:t>х</w:t>
            </w:r>
          </w:p>
        </w:tc>
      </w:tr>
    </w:tbl>
    <w:p w14:paraId="5867BF79">
      <w:pPr>
        <w:jc w:val="right"/>
        <w:rPr>
          <w:highlight w:val="yellow"/>
        </w:rPr>
      </w:pPr>
    </w:p>
    <w:p w14:paraId="411F0B0A">
      <w:pPr>
        <w:ind w:firstLine="567"/>
        <w:jc w:val="both"/>
      </w:pPr>
      <w:r>
        <w:t>Основными видами поступлений являются субвенции (доля в общем объёме поступлений 67,8%) и межбюджетные трансферты (доля 17,2%), субсидии (доля 10,9%) и дотации (доля 3,2%).</w:t>
      </w:r>
    </w:p>
    <w:p w14:paraId="4F11570F">
      <w:pPr>
        <w:ind w:firstLine="567"/>
        <w:jc w:val="both"/>
        <w:rPr>
          <w:sz w:val="12"/>
          <w:szCs w:val="12"/>
          <w:highlight w:val="yellow"/>
        </w:rPr>
      </w:pPr>
    </w:p>
    <w:p w14:paraId="43322F4C">
      <w:pPr>
        <w:pStyle w:val="10"/>
        <w:numPr>
          <w:ilvl w:val="0"/>
          <w:numId w:val="1"/>
        </w:numPr>
        <w:jc w:val="center"/>
        <w:rPr>
          <w:b/>
          <w:sz w:val="22"/>
          <w:szCs w:val="22"/>
        </w:rPr>
      </w:pPr>
      <w:r>
        <w:rPr>
          <w:b/>
          <w:sz w:val="22"/>
          <w:szCs w:val="22"/>
        </w:rPr>
        <w:t>Анализ исполнения расходной части бюджета.</w:t>
      </w:r>
    </w:p>
    <w:p w14:paraId="34D1A4D0">
      <w:pPr>
        <w:pStyle w:val="10"/>
        <w:jc w:val="both"/>
        <w:rPr>
          <w:b/>
          <w:sz w:val="12"/>
          <w:szCs w:val="12"/>
          <w:highlight w:val="yellow"/>
        </w:rPr>
      </w:pPr>
    </w:p>
    <w:p w14:paraId="059F4354">
      <w:pPr>
        <w:ind w:firstLine="567"/>
        <w:jc w:val="both"/>
      </w:pPr>
      <w:r>
        <w:t>Расходы бюджета за 1 полугодие 2024 года освоены в сумме 1021982,56 тыс. руб. (45 % к данным сводной бюджетной росписи (2271794,48 тыс. руб.) на 30.06.2024г.), из них наибольший процент освоения (более 50% от бюджетных назначений) сложился по муниципальным программам:</w:t>
      </w:r>
    </w:p>
    <w:p w14:paraId="5E11CAC9">
      <w:pPr>
        <w:ind w:firstLine="567"/>
        <w:jc w:val="both"/>
      </w:pPr>
      <w:r>
        <w:t>81,98% (1140718,56 тыс. руб.) - МП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w:t>
      </w:r>
    </w:p>
    <w:p w14:paraId="14C4806F">
      <w:pPr>
        <w:ind w:firstLine="567"/>
        <w:jc w:val="both"/>
      </w:pPr>
      <w:r>
        <w:t>80,96% (47052,97 тыс. руб.) - МП «Развитие агропромышленного комплекса Ахтубинского района»;</w:t>
      </w:r>
    </w:p>
    <w:p w14:paraId="1E94252F">
      <w:pPr>
        <w:ind w:firstLine="567"/>
        <w:jc w:val="both"/>
      </w:pPr>
      <w:r>
        <w:t>72,94% (809,44 тыс. руб.) - МП «Развитие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w:t>
      </w:r>
    </w:p>
    <w:p w14:paraId="09AE7DC7">
      <w:pPr>
        <w:ind w:firstLine="567"/>
        <w:jc w:val="both"/>
      </w:pPr>
      <w:r>
        <w:t>51,38% (19353,95 тыс. руб.) - МП «Создание условий для функционирования органов местного самоуправления муниципального образования «Ахтубинский район».</w:t>
      </w:r>
    </w:p>
    <w:p w14:paraId="4AD3CFAE">
      <w:pPr>
        <w:ind w:firstLine="567"/>
        <w:jc w:val="both"/>
        <w:rPr>
          <w:highlight w:val="none"/>
        </w:rPr>
      </w:pPr>
      <w:r>
        <w:rPr>
          <w:highlight w:val="none"/>
          <w:lang w:val="ru-RU"/>
        </w:rPr>
        <w:t>Не</w:t>
      </w:r>
      <w:r>
        <w:rPr>
          <w:rFonts w:hint="default"/>
          <w:highlight w:val="none"/>
          <w:lang w:val="ru-RU"/>
        </w:rPr>
        <w:t xml:space="preserve"> исполнена</w:t>
      </w:r>
      <w:r>
        <w:rPr>
          <w:highlight w:val="none"/>
        </w:rPr>
        <w:t xml:space="preserve"> МП «Развитие физической культуры и спорта в Ахтубинском районе»</w:t>
      </w:r>
      <w:r>
        <w:rPr>
          <w:rFonts w:hint="default"/>
          <w:highlight w:val="none"/>
          <w:lang w:val="ru-RU"/>
        </w:rPr>
        <w:t xml:space="preserve"> (0,00%)</w:t>
      </w:r>
      <w:r>
        <w:rPr>
          <w:highlight w:val="none"/>
        </w:rPr>
        <w:t>.</w:t>
      </w:r>
    </w:p>
    <w:p w14:paraId="4F58F39F">
      <w:pPr>
        <w:jc w:val="both"/>
      </w:pPr>
      <w:r>
        <w:t>По 16 программам и 2 непрограммным мероприятиям распределение ассигнований представлено в таблице №6:</w:t>
      </w:r>
    </w:p>
    <w:p w14:paraId="5263EBFA">
      <w:pPr>
        <w:jc w:val="right"/>
      </w:pPr>
      <w:r>
        <w:t>Таблица №6 (тыс. руб.)</w:t>
      </w:r>
    </w:p>
    <w:tbl>
      <w:tblPr>
        <w:tblStyle w:val="3"/>
        <w:tblW w:w="9371" w:type="dxa"/>
        <w:tblInd w:w="0" w:type="dxa"/>
        <w:tblLayout w:type="fixed"/>
        <w:tblCellMar>
          <w:top w:w="0" w:type="dxa"/>
          <w:left w:w="108" w:type="dxa"/>
          <w:bottom w:w="0" w:type="dxa"/>
          <w:right w:w="108" w:type="dxa"/>
        </w:tblCellMar>
      </w:tblPr>
      <w:tblGrid>
        <w:gridCol w:w="441"/>
        <w:gridCol w:w="2644"/>
        <w:gridCol w:w="1276"/>
        <w:gridCol w:w="1417"/>
        <w:gridCol w:w="1276"/>
        <w:gridCol w:w="1276"/>
        <w:gridCol w:w="1041"/>
      </w:tblGrid>
      <w:tr w14:paraId="4492F2FA">
        <w:tblPrEx>
          <w:tblCellMar>
            <w:top w:w="0" w:type="dxa"/>
            <w:left w:w="108" w:type="dxa"/>
            <w:bottom w:w="0" w:type="dxa"/>
            <w:right w:w="108" w:type="dxa"/>
          </w:tblCellMar>
        </w:tblPrEx>
        <w:trPr>
          <w:trHeight w:val="1228" w:hRule="atLeast"/>
        </w:trPr>
        <w:tc>
          <w:tcPr>
            <w:tcW w:w="4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334C3">
            <w:pPr>
              <w:jc w:val="center"/>
              <w:textAlignment w:val="center"/>
              <w:rPr>
                <w:rFonts w:eastAsia="SimSun"/>
                <w:color w:val="000000"/>
                <w:sz w:val="20"/>
                <w:szCs w:val="20"/>
                <w:lang w:eastAsia="zh-CN" w:bidi="ar"/>
              </w:rPr>
            </w:pPr>
            <w:r>
              <w:rPr>
                <w:rFonts w:eastAsia="SimSun"/>
                <w:color w:val="000000"/>
                <w:sz w:val="20"/>
                <w:szCs w:val="20"/>
                <w:lang w:eastAsia="zh-CN" w:bidi="ar"/>
              </w:rPr>
              <w:t>№</w:t>
            </w:r>
          </w:p>
        </w:tc>
        <w:tc>
          <w:tcPr>
            <w:tcW w:w="2644" w:type="dxa"/>
            <w:tcBorders>
              <w:top w:val="single" w:color="auto" w:sz="4" w:space="0"/>
              <w:left w:val="nil"/>
              <w:bottom w:val="single" w:color="auto" w:sz="4" w:space="0"/>
              <w:right w:val="single" w:color="auto" w:sz="4" w:space="0"/>
            </w:tcBorders>
            <w:shd w:val="clear" w:color="auto" w:fill="auto"/>
            <w:vAlign w:val="center"/>
          </w:tcPr>
          <w:p w14:paraId="1A16AEBF">
            <w:pPr>
              <w:jc w:val="center"/>
              <w:textAlignment w:val="center"/>
              <w:rPr>
                <w:color w:val="000000"/>
                <w:sz w:val="20"/>
                <w:szCs w:val="20"/>
              </w:rPr>
            </w:pPr>
            <w:r>
              <w:rPr>
                <w:rFonts w:eastAsia="SimSun"/>
                <w:color w:val="000000"/>
                <w:sz w:val="20"/>
                <w:szCs w:val="20"/>
                <w:lang w:val="en-US" w:eastAsia="zh-CN" w:bidi="ar"/>
              </w:rPr>
              <w:t>Наименование</w:t>
            </w:r>
          </w:p>
        </w:tc>
        <w:tc>
          <w:tcPr>
            <w:tcW w:w="1276" w:type="dxa"/>
            <w:tcBorders>
              <w:top w:val="single" w:color="auto" w:sz="4" w:space="0"/>
              <w:left w:val="nil"/>
              <w:bottom w:val="single" w:color="auto" w:sz="4" w:space="0"/>
              <w:right w:val="single" w:color="auto" w:sz="4" w:space="0"/>
            </w:tcBorders>
            <w:shd w:val="clear" w:color="auto" w:fill="auto"/>
            <w:vAlign w:val="center"/>
          </w:tcPr>
          <w:p w14:paraId="772A3FE9">
            <w:pPr>
              <w:jc w:val="center"/>
              <w:textAlignment w:val="center"/>
              <w:rPr>
                <w:color w:val="000000"/>
                <w:sz w:val="20"/>
                <w:szCs w:val="20"/>
                <w:highlight w:val="none"/>
              </w:rPr>
            </w:pPr>
            <w:r>
              <w:rPr>
                <w:rFonts w:eastAsia="SimSun"/>
                <w:color w:val="000000"/>
                <w:sz w:val="20"/>
                <w:szCs w:val="20"/>
                <w:highlight w:val="none"/>
                <w:lang w:eastAsia="zh-CN" w:bidi="ar"/>
              </w:rPr>
              <w:t>Исполнение за 1 полугодие 2023 года</w:t>
            </w:r>
          </w:p>
        </w:tc>
        <w:tc>
          <w:tcPr>
            <w:tcW w:w="1417" w:type="dxa"/>
            <w:tcBorders>
              <w:top w:val="single" w:color="auto" w:sz="4" w:space="0"/>
              <w:left w:val="nil"/>
              <w:bottom w:val="single" w:color="auto" w:sz="4" w:space="0"/>
              <w:right w:val="single" w:color="auto" w:sz="4" w:space="0"/>
            </w:tcBorders>
            <w:shd w:val="clear" w:color="auto" w:fill="auto"/>
            <w:vAlign w:val="center"/>
          </w:tcPr>
          <w:p w14:paraId="3609C14D">
            <w:pPr>
              <w:jc w:val="center"/>
              <w:textAlignment w:val="center"/>
              <w:rPr>
                <w:color w:val="000000"/>
                <w:sz w:val="20"/>
                <w:szCs w:val="20"/>
                <w:highlight w:val="none"/>
              </w:rPr>
            </w:pPr>
            <w:r>
              <w:rPr>
                <w:rFonts w:eastAsia="SimSun"/>
                <w:color w:val="000000"/>
                <w:sz w:val="20"/>
                <w:szCs w:val="20"/>
                <w:highlight w:val="none"/>
                <w:lang w:eastAsia="zh-CN" w:bidi="ar"/>
              </w:rPr>
              <w:t>Сводная бюджетная роспись на 30.06.2024</w:t>
            </w:r>
          </w:p>
        </w:tc>
        <w:tc>
          <w:tcPr>
            <w:tcW w:w="1276" w:type="dxa"/>
            <w:tcBorders>
              <w:top w:val="single" w:color="auto" w:sz="4" w:space="0"/>
              <w:left w:val="nil"/>
              <w:bottom w:val="single" w:color="auto" w:sz="4" w:space="0"/>
              <w:right w:val="single" w:color="auto" w:sz="4" w:space="0"/>
            </w:tcBorders>
            <w:shd w:val="clear" w:color="auto" w:fill="auto"/>
            <w:vAlign w:val="center"/>
          </w:tcPr>
          <w:p w14:paraId="48BE2805">
            <w:pPr>
              <w:jc w:val="center"/>
              <w:textAlignment w:val="center"/>
              <w:rPr>
                <w:color w:val="000000"/>
                <w:sz w:val="20"/>
                <w:szCs w:val="20"/>
                <w:highlight w:val="none"/>
              </w:rPr>
            </w:pPr>
            <w:r>
              <w:rPr>
                <w:rFonts w:eastAsia="SimSun"/>
                <w:color w:val="000000"/>
                <w:sz w:val="20"/>
                <w:szCs w:val="20"/>
                <w:highlight w:val="none"/>
                <w:lang w:eastAsia="zh-CN" w:bidi="ar"/>
              </w:rPr>
              <w:t>Исполнение за 1 полугодие 2024 года</w:t>
            </w:r>
          </w:p>
        </w:tc>
        <w:tc>
          <w:tcPr>
            <w:tcW w:w="1276" w:type="dxa"/>
            <w:tcBorders>
              <w:top w:val="single" w:color="auto" w:sz="4" w:space="0"/>
              <w:left w:val="nil"/>
              <w:bottom w:val="single" w:color="auto" w:sz="4" w:space="0"/>
              <w:right w:val="single" w:color="auto" w:sz="4" w:space="0"/>
            </w:tcBorders>
            <w:shd w:val="clear" w:color="auto" w:fill="auto"/>
            <w:vAlign w:val="center"/>
          </w:tcPr>
          <w:p w14:paraId="71D1FB6C">
            <w:pPr>
              <w:jc w:val="center"/>
              <w:textAlignment w:val="center"/>
              <w:rPr>
                <w:color w:val="000000"/>
                <w:sz w:val="20"/>
                <w:szCs w:val="20"/>
                <w:highlight w:val="none"/>
              </w:rPr>
            </w:pPr>
            <w:r>
              <w:rPr>
                <w:rFonts w:eastAsia="SimSun"/>
                <w:color w:val="000000"/>
                <w:sz w:val="20"/>
                <w:szCs w:val="20"/>
                <w:highlight w:val="none"/>
                <w:lang w:eastAsia="zh-CN" w:bidi="ar"/>
              </w:rPr>
              <w:t>% исполнения бюджета за первый квартал 2024 года</w:t>
            </w:r>
          </w:p>
        </w:tc>
        <w:tc>
          <w:tcPr>
            <w:tcW w:w="1041" w:type="dxa"/>
            <w:tcBorders>
              <w:top w:val="single" w:color="auto" w:sz="4" w:space="0"/>
              <w:left w:val="nil"/>
              <w:bottom w:val="single" w:color="auto" w:sz="4" w:space="0"/>
              <w:right w:val="single" w:color="auto" w:sz="4" w:space="0"/>
            </w:tcBorders>
            <w:shd w:val="clear" w:color="auto" w:fill="auto"/>
            <w:vAlign w:val="center"/>
          </w:tcPr>
          <w:p w14:paraId="6A7D033D">
            <w:pPr>
              <w:jc w:val="center"/>
              <w:textAlignment w:val="center"/>
              <w:rPr>
                <w:color w:val="000000"/>
                <w:sz w:val="20"/>
                <w:szCs w:val="20"/>
                <w:highlight w:val="none"/>
              </w:rPr>
            </w:pPr>
            <w:r>
              <w:rPr>
                <w:rFonts w:eastAsia="SimSun"/>
                <w:color w:val="000000"/>
                <w:sz w:val="20"/>
                <w:szCs w:val="20"/>
                <w:highlight w:val="none"/>
                <w:lang w:eastAsia="zh-CN" w:bidi="ar"/>
              </w:rPr>
              <w:t>Темпы роста 2024 к 2023 (%) гр.5/гр.3*100</w:t>
            </w:r>
          </w:p>
        </w:tc>
      </w:tr>
      <w:tr w14:paraId="4279A61A">
        <w:tblPrEx>
          <w:tblCellMar>
            <w:top w:w="0" w:type="dxa"/>
            <w:left w:w="108" w:type="dxa"/>
            <w:bottom w:w="0" w:type="dxa"/>
            <w:right w:w="108" w:type="dxa"/>
          </w:tblCellMar>
        </w:tblPrEx>
        <w:trPr>
          <w:trHeight w:val="113"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09FCCD79">
            <w:pPr>
              <w:jc w:val="center"/>
              <w:rPr>
                <w:color w:val="000000"/>
                <w:sz w:val="20"/>
                <w:szCs w:val="20"/>
              </w:rPr>
            </w:pPr>
            <w:r>
              <w:rPr>
                <w:rFonts w:eastAsia="SimSun"/>
                <w:color w:val="000000"/>
                <w:sz w:val="20"/>
                <w:szCs w:val="20"/>
                <w:lang w:eastAsia="zh-CN" w:bidi="ar"/>
              </w:rPr>
              <w:t>1</w:t>
            </w:r>
          </w:p>
        </w:tc>
        <w:tc>
          <w:tcPr>
            <w:tcW w:w="2644" w:type="dxa"/>
            <w:tcBorders>
              <w:top w:val="nil"/>
              <w:left w:val="nil"/>
              <w:bottom w:val="single" w:color="auto" w:sz="4" w:space="0"/>
              <w:right w:val="single" w:color="auto" w:sz="4" w:space="0"/>
            </w:tcBorders>
            <w:shd w:val="clear" w:color="auto" w:fill="auto"/>
            <w:vAlign w:val="center"/>
          </w:tcPr>
          <w:p w14:paraId="631AE400">
            <w:pPr>
              <w:jc w:val="center"/>
              <w:textAlignment w:val="center"/>
              <w:rPr>
                <w:color w:val="000000"/>
                <w:sz w:val="20"/>
                <w:szCs w:val="20"/>
              </w:rPr>
            </w:pPr>
            <w:r>
              <w:rPr>
                <w:rFonts w:eastAsia="SimSun"/>
                <w:color w:val="000000"/>
                <w:sz w:val="20"/>
                <w:szCs w:val="20"/>
                <w:lang w:eastAsia="zh-CN" w:bidi="ar"/>
              </w:rPr>
              <w:t>2</w:t>
            </w:r>
          </w:p>
        </w:tc>
        <w:tc>
          <w:tcPr>
            <w:tcW w:w="1276" w:type="dxa"/>
            <w:tcBorders>
              <w:top w:val="nil"/>
              <w:left w:val="nil"/>
              <w:bottom w:val="single" w:color="auto" w:sz="4" w:space="0"/>
              <w:right w:val="single" w:color="auto" w:sz="4" w:space="0"/>
            </w:tcBorders>
            <w:shd w:val="clear" w:color="auto" w:fill="auto"/>
            <w:vAlign w:val="center"/>
          </w:tcPr>
          <w:p w14:paraId="5C121F9C">
            <w:pPr>
              <w:jc w:val="center"/>
              <w:textAlignment w:val="center"/>
              <w:rPr>
                <w:color w:val="000000"/>
                <w:sz w:val="20"/>
                <w:szCs w:val="20"/>
              </w:rPr>
            </w:pPr>
            <w:r>
              <w:rPr>
                <w:rFonts w:eastAsia="SimSun"/>
                <w:color w:val="000000"/>
                <w:sz w:val="20"/>
                <w:szCs w:val="20"/>
                <w:lang w:eastAsia="zh-CN" w:bidi="ar"/>
              </w:rPr>
              <w:t>3</w:t>
            </w:r>
          </w:p>
        </w:tc>
        <w:tc>
          <w:tcPr>
            <w:tcW w:w="1417" w:type="dxa"/>
            <w:tcBorders>
              <w:top w:val="nil"/>
              <w:left w:val="nil"/>
              <w:bottom w:val="single" w:color="auto" w:sz="4" w:space="0"/>
              <w:right w:val="single" w:color="auto" w:sz="4" w:space="0"/>
            </w:tcBorders>
            <w:shd w:val="clear" w:color="auto" w:fill="auto"/>
            <w:vAlign w:val="center"/>
          </w:tcPr>
          <w:p w14:paraId="1267BEAC">
            <w:pPr>
              <w:jc w:val="center"/>
              <w:textAlignment w:val="center"/>
              <w:rPr>
                <w:color w:val="000000"/>
                <w:sz w:val="20"/>
                <w:szCs w:val="20"/>
              </w:rPr>
            </w:pPr>
            <w:r>
              <w:rPr>
                <w:color w:val="000000"/>
                <w:sz w:val="20"/>
                <w:szCs w:val="20"/>
              </w:rPr>
              <w:t>4</w:t>
            </w:r>
          </w:p>
        </w:tc>
        <w:tc>
          <w:tcPr>
            <w:tcW w:w="1276" w:type="dxa"/>
            <w:tcBorders>
              <w:top w:val="nil"/>
              <w:left w:val="nil"/>
              <w:bottom w:val="single" w:color="auto" w:sz="4" w:space="0"/>
              <w:right w:val="single" w:color="auto" w:sz="4" w:space="0"/>
            </w:tcBorders>
            <w:shd w:val="clear" w:color="auto" w:fill="auto"/>
            <w:vAlign w:val="center"/>
          </w:tcPr>
          <w:p w14:paraId="551FE9D2">
            <w:pPr>
              <w:jc w:val="center"/>
              <w:textAlignment w:val="center"/>
              <w:rPr>
                <w:color w:val="000000"/>
                <w:sz w:val="20"/>
                <w:szCs w:val="20"/>
              </w:rPr>
            </w:pPr>
            <w:r>
              <w:rPr>
                <w:color w:val="000000"/>
                <w:sz w:val="20"/>
                <w:szCs w:val="20"/>
              </w:rPr>
              <w:t>5</w:t>
            </w:r>
          </w:p>
        </w:tc>
        <w:tc>
          <w:tcPr>
            <w:tcW w:w="1276" w:type="dxa"/>
            <w:tcBorders>
              <w:top w:val="nil"/>
              <w:left w:val="nil"/>
              <w:bottom w:val="single" w:color="auto" w:sz="4" w:space="0"/>
              <w:right w:val="single" w:color="auto" w:sz="4" w:space="0"/>
            </w:tcBorders>
            <w:shd w:val="clear" w:color="auto" w:fill="auto"/>
            <w:vAlign w:val="center"/>
          </w:tcPr>
          <w:p w14:paraId="78EF310B">
            <w:pPr>
              <w:jc w:val="center"/>
              <w:textAlignment w:val="center"/>
              <w:rPr>
                <w:color w:val="000000"/>
                <w:sz w:val="20"/>
                <w:szCs w:val="20"/>
              </w:rPr>
            </w:pPr>
            <w:r>
              <w:rPr>
                <w:color w:val="000000"/>
                <w:sz w:val="20"/>
                <w:szCs w:val="20"/>
              </w:rPr>
              <w:t>6</w:t>
            </w:r>
          </w:p>
        </w:tc>
        <w:tc>
          <w:tcPr>
            <w:tcW w:w="1041" w:type="dxa"/>
            <w:tcBorders>
              <w:top w:val="nil"/>
              <w:left w:val="nil"/>
              <w:bottom w:val="single" w:color="auto" w:sz="4" w:space="0"/>
              <w:right w:val="single" w:color="auto" w:sz="4" w:space="0"/>
            </w:tcBorders>
            <w:shd w:val="clear" w:color="auto" w:fill="auto"/>
            <w:vAlign w:val="center"/>
          </w:tcPr>
          <w:p w14:paraId="49B06189">
            <w:pPr>
              <w:jc w:val="center"/>
              <w:textAlignment w:val="center"/>
              <w:rPr>
                <w:color w:val="000000"/>
                <w:sz w:val="20"/>
                <w:szCs w:val="20"/>
              </w:rPr>
            </w:pPr>
            <w:r>
              <w:rPr>
                <w:color w:val="000000"/>
                <w:sz w:val="20"/>
                <w:szCs w:val="20"/>
              </w:rPr>
              <w:t>7</w:t>
            </w:r>
          </w:p>
        </w:tc>
      </w:tr>
      <w:tr w14:paraId="776EC2F5">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0C694C9F">
            <w:pPr>
              <w:jc w:val="center"/>
              <w:textAlignment w:val="bottom"/>
              <w:rPr>
                <w:color w:val="000000"/>
                <w:sz w:val="20"/>
                <w:szCs w:val="20"/>
              </w:rPr>
            </w:pPr>
            <w:r>
              <w:rPr>
                <w:rFonts w:eastAsia="SimSun"/>
                <w:color w:val="000000"/>
                <w:sz w:val="20"/>
                <w:szCs w:val="20"/>
                <w:lang w:val="en-US" w:eastAsia="zh-CN" w:bidi="ar"/>
              </w:rPr>
              <w:t>1</w:t>
            </w:r>
          </w:p>
        </w:tc>
        <w:tc>
          <w:tcPr>
            <w:tcW w:w="2644" w:type="dxa"/>
            <w:tcBorders>
              <w:top w:val="nil"/>
              <w:left w:val="nil"/>
              <w:bottom w:val="single" w:color="auto" w:sz="4" w:space="0"/>
              <w:right w:val="single" w:color="auto" w:sz="4" w:space="0"/>
            </w:tcBorders>
            <w:shd w:val="clear" w:color="auto" w:fill="auto"/>
            <w:vAlign w:val="center"/>
          </w:tcPr>
          <w:p w14:paraId="67554B1B">
            <w:pPr>
              <w:jc w:val="center"/>
              <w:textAlignment w:val="center"/>
              <w:rPr>
                <w:color w:val="000000"/>
                <w:sz w:val="20"/>
                <w:szCs w:val="20"/>
              </w:rPr>
            </w:pPr>
            <w:r>
              <w:rPr>
                <w:rFonts w:eastAsia="SimSun"/>
                <w:color w:val="000000"/>
                <w:sz w:val="20"/>
                <w:szCs w:val="20"/>
                <w:lang w:eastAsia="zh-CN" w:bidi="ar"/>
              </w:rPr>
              <w:t>МП «Развитие системы образования в МО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3505AB05">
            <w:pPr>
              <w:jc w:val="center"/>
              <w:textAlignment w:val="center"/>
              <w:rPr>
                <w:color w:val="000000"/>
                <w:sz w:val="20"/>
                <w:szCs w:val="20"/>
              </w:rPr>
            </w:pPr>
            <w:r>
              <w:rPr>
                <w:rFonts w:eastAsia="SimSun"/>
                <w:color w:val="000000"/>
                <w:sz w:val="20"/>
                <w:szCs w:val="20"/>
                <w:lang w:val="en-US" w:eastAsia="zh-CN" w:bidi="ar"/>
              </w:rPr>
              <w:t>518 191,44</w:t>
            </w:r>
          </w:p>
        </w:tc>
        <w:tc>
          <w:tcPr>
            <w:tcW w:w="1417" w:type="dxa"/>
            <w:tcBorders>
              <w:top w:val="nil"/>
              <w:left w:val="nil"/>
              <w:bottom w:val="single" w:color="auto" w:sz="4" w:space="0"/>
              <w:right w:val="single" w:color="auto" w:sz="4" w:space="0"/>
            </w:tcBorders>
            <w:shd w:val="clear" w:color="auto" w:fill="auto"/>
            <w:vAlign w:val="center"/>
          </w:tcPr>
          <w:p w14:paraId="03B7AFEE">
            <w:pPr>
              <w:jc w:val="center"/>
              <w:textAlignment w:val="center"/>
              <w:rPr>
                <w:color w:val="000000"/>
                <w:sz w:val="20"/>
                <w:szCs w:val="20"/>
              </w:rPr>
            </w:pPr>
            <w:r>
              <w:rPr>
                <w:rFonts w:eastAsia="SimSun"/>
                <w:color w:val="000000"/>
                <w:sz w:val="20"/>
                <w:szCs w:val="20"/>
                <w:lang w:val="en-US" w:eastAsia="zh-CN" w:bidi="ar"/>
              </w:rPr>
              <w:t>1149 475,00</w:t>
            </w:r>
          </w:p>
        </w:tc>
        <w:tc>
          <w:tcPr>
            <w:tcW w:w="1276" w:type="dxa"/>
            <w:tcBorders>
              <w:top w:val="nil"/>
              <w:left w:val="nil"/>
              <w:bottom w:val="single" w:color="auto" w:sz="4" w:space="0"/>
              <w:right w:val="single" w:color="auto" w:sz="4" w:space="0"/>
            </w:tcBorders>
            <w:shd w:val="clear" w:color="auto" w:fill="auto"/>
            <w:vAlign w:val="center"/>
          </w:tcPr>
          <w:p w14:paraId="5C54114B">
            <w:pPr>
              <w:jc w:val="center"/>
              <w:textAlignment w:val="center"/>
              <w:rPr>
                <w:color w:val="000000"/>
                <w:sz w:val="20"/>
                <w:szCs w:val="20"/>
              </w:rPr>
            </w:pPr>
            <w:r>
              <w:rPr>
                <w:rFonts w:eastAsia="SimSun"/>
                <w:color w:val="000000"/>
                <w:sz w:val="20"/>
                <w:szCs w:val="20"/>
                <w:lang w:val="en-US" w:eastAsia="zh-CN" w:bidi="ar"/>
              </w:rPr>
              <w:t xml:space="preserve">596770,36 </w:t>
            </w:r>
          </w:p>
        </w:tc>
        <w:tc>
          <w:tcPr>
            <w:tcW w:w="1276" w:type="dxa"/>
            <w:tcBorders>
              <w:top w:val="nil"/>
              <w:left w:val="nil"/>
              <w:bottom w:val="single" w:color="auto" w:sz="4" w:space="0"/>
              <w:right w:val="single" w:color="auto" w:sz="4" w:space="0"/>
            </w:tcBorders>
            <w:shd w:val="clear" w:color="auto" w:fill="auto"/>
            <w:noWrap/>
            <w:vAlign w:val="center"/>
          </w:tcPr>
          <w:p w14:paraId="38679DB9">
            <w:pPr>
              <w:jc w:val="center"/>
              <w:textAlignment w:val="center"/>
              <w:rPr>
                <w:color w:val="000000"/>
                <w:sz w:val="20"/>
                <w:szCs w:val="20"/>
              </w:rPr>
            </w:pPr>
            <w:r>
              <w:rPr>
                <w:rFonts w:eastAsia="SimSun"/>
                <w:color w:val="000000"/>
                <w:sz w:val="20"/>
                <w:szCs w:val="20"/>
                <w:lang w:val="en-US" w:eastAsia="zh-CN" w:bidi="ar"/>
              </w:rPr>
              <w:t>51,92%</w:t>
            </w:r>
          </w:p>
        </w:tc>
        <w:tc>
          <w:tcPr>
            <w:tcW w:w="1041" w:type="dxa"/>
            <w:tcBorders>
              <w:top w:val="nil"/>
              <w:left w:val="nil"/>
              <w:bottom w:val="single" w:color="auto" w:sz="4" w:space="0"/>
              <w:right w:val="single" w:color="auto" w:sz="4" w:space="0"/>
            </w:tcBorders>
            <w:shd w:val="clear" w:color="auto" w:fill="auto"/>
            <w:noWrap/>
            <w:vAlign w:val="center"/>
          </w:tcPr>
          <w:p w14:paraId="6E86A2DB">
            <w:pPr>
              <w:jc w:val="center"/>
              <w:textAlignment w:val="center"/>
              <w:rPr>
                <w:color w:val="000000"/>
                <w:sz w:val="20"/>
                <w:szCs w:val="20"/>
              </w:rPr>
            </w:pPr>
            <w:r>
              <w:rPr>
                <w:rFonts w:eastAsia="SimSun"/>
                <w:color w:val="000000"/>
                <w:sz w:val="20"/>
                <w:szCs w:val="20"/>
                <w:lang w:val="en-US" w:eastAsia="zh-CN" w:bidi="ar"/>
              </w:rPr>
              <w:t>115,16%</w:t>
            </w:r>
          </w:p>
        </w:tc>
      </w:tr>
      <w:tr w14:paraId="12E1C0D0">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3A259FEA">
            <w:pPr>
              <w:jc w:val="center"/>
              <w:textAlignment w:val="bottom"/>
              <w:rPr>
                <w:color w:val="000000"/>
                <w:sz w:val="20"/>
                <w:szCs w:val="20"/>
              </w:rPr>
            </w:pPr>
            <w:r>
              <w:rPr>
                <w:rFonts w:eastAsia="SimSun"/>
                <w:color w:val="000000"/>
                <w:sz w:val="20"/>
                <w:szCs w:val="20"/>
                <w:lang w:val="en-US" w:eastAsia="zh-CN" w:bidi="ar"/>
              </w:rPr>
              <w:t>2</w:t>
            </w:r>
          </w:p>
        </w:tc>
        <w:tc>
          <w:tcPr>
            <w:tcW w:w="2644" w:type="dxa"/>
            <w:tcBorders>
              <w:top w:val="nil"/>
              <w:left w:val="nil"/>
              <w:bottom w:val="single" w:color="auto" w:sz="4" w:space="0"/>
              <w:right w:val="single" w:color="auto" w:sz="4" w:space="0"/>
            </w:tcBorders>
            <w:shd w:val="clear" w:color="auto" w:fill="auto"/>
            <w:vAlign w:val="center"/>
          </w:tcPr>
          <w:p w14:paraId="25A1ED96">
            <w:pPr>
              <w:jc w:val="center"/>
              <w:textAlignment w:val="center"/>
              <w:rPr>
                <w:color w:val="000000"/>
                <w:sz w:val="20"/>
                <w:szCs w:val="20"/>
              </w:rPr>
            </w:pPr>
            <w:r>
              <w:rPr>
                <w:rFonts w:eastAsia="SimSun"/>
                <w:color w:val="000000"/>
                <w:sz w:val="20"/>
                <w:szCs w:val="20"/>
                <w:lang w:eastAsia="zh-CN" w:bidi="ar"/>
              </w:rPr>
              <w:t>МП «Обеспечение общественного порядка и противодействие преступности в Ахтубинском районе»</w:t>
            </w:r>
          </w:p>
        </w:tc>
        <w:tc>
          <w:tcPr>
            <w:tcW w:w="1276" w:type="dxa"/>
            <w:tcBorders>
              <w:top w:val="nil"/>
              <w:left w:val="nil"/>
              <w:bottom w:val="single" w:color="auto" w:sz="4" w:space="0"/>
              <w:right w:val="single" w:color="auto" w:sz="4" w:space="0"/>
            </w:tcBorders>
            <w:shd w:val="clear" w:color="auto" w:fill="auto"/>
            <w:vAlign w:val="center"/>
          </w:tcPr>
          <w:p w14:paraId="7646AB27">
            <w:pPr>
              <w:jc w:val="center"/>
              <w:textAlignment w:val="center"/>
              <w:rPr>
                <w:color w:val="000000"/>
                <w:sz w:val="20"/>
                <w:szCs w:val="20"/>
              </w:rPr>
            </w:pPr>
            <w:r>
              <w:rPr>
                <w:rFonts w:eastAsia="SimSun"/>
                <w:color w:val="000000"/>
                <w:sz w:val="20"/>
                <w:szCs w:val="20"/>
                <w:lang w:val="en-US" w:eastAsia="zh-CN" w:bidi="ar"/>
              </w:rPr>
              <w:t>78,5</w:t>
            </w:r>
          </w:p>
        </w:tc>
        <w:tc>
          <w:tcPr>
            <w:tcW w:w="1417" w:type="dxa"/>
            <w:tcBorders>
              <w:top w:val="nil"/>
              <w:left w:val="nil"/>
              <w:bottom w:val="single" w:color="auto" w:sz="4" w:space="0"/>
              <w:right w:val="single" w:color="auto" w:sz="4" w:space="0"/>
            </w:tcBorders>
            <w:shd w:val="clear" w:color="auto" w:fill="auto"/>
            <w:vAlign w:val="center"/>
          </w:tcPr>
          <w:p w14:paraId="77652E21">
            <w:pPr>
              <w:jc w:val="center"/>
              <w:textAlignment w:val="center"/>
              <w:rPr>
                <w:color w:val="000000"/>
                <w:sz w:val="20"/>
                <w:szCs w:val="20"/>
              </w:rPr>
            </w:pPr>
            <w:r>
              <w:rPr>
                <w:rFonts w:eastAsia="SimSun"/>
                <w:color w:val="000000"/>
                <w:sz w:val="20"/>
                <w:szCs w:val="20"/>
                <w:lang w:val="en-US" w:eastAsia="zh-CN" w:bidi="ar"/>
              </w:rPr>
              <w:t>16 215,06</w:t>
            </w:r>
          </w:p>
        </w:tc>
        <w:tc>
          <w:tcPr>
            <w:tcW w:w="1276" w:type="dxa"/>
            <w:tcBorders>
              <w:top w:val="nil"/>
              <w:left w:val="nil"/>
              <w:bottom w:val="single" w:color="auto" w:sz="4" w:space="0"/>
              <w:right w:val="single" w:color="auto" w:sz="4" w:space="0"/>
            </w:tcBorders>
            <w:shd w:val="clear" w:color="auto" w:fill="auto"/>
            <w:vAlign w:val="center"/>
          </w:tcPr>
          <w:p w14:paraId="72388978">
            <w:pPr>
              <w:jc w:val="center"/>
              <w:textAlignment w:val="center"/>
              <w:rPr>
                <w:color w:val="000000"/>
                <w:sz w:val="20"/>
                <w:szCs w:val="20"/>
              </w:rPr>
            </w:pPr>
            <w:r>
              <w:rPr>
                <w:rFonts w:eastAsia="SimSun"/>
                <w:color w:val="000000"/>
                <w:sz w:val="20"/>
                <w:szCs w:val="20"/>
                <w:lang w:val="en-US" w:eastAsia="zh-CN" w:bidi="ar"/>
              </w:rPr>
              <w:t xml:space="preserve">2455,81 </w:t>
            </w:r>
          </w:p>
        </w:tc>
        <w:tc>
          <w:tcPr>
            <w:tcW w:w="1276" w:type="dxa"/>
            <w:tcBorders>
              <w:top w:val="nil"/>
              <w:left w:val="nil"/>
              <w:bottom w:val="single" w:color="auto" w:sz="4" w:space="0"/>
              <w:right w:val="single" w:color="auto" w:sz="4" w:space="0"/>
            </w:tcBorders>
            <w:shd w:val="clear" w:color="auto" w:fill="auto"/>
            <w:noWrap/>
            <w:vAlign w:val="center"/>
          </w:tcPr>
          <w:p w14:paraId="74E12023">
            <w:pPr>
              <w:jc w:val="center"/>
              <w:textAlignment w:val="center"/>
              <w:rPr>
                <w:color w:val="000000"/>
                <w:sz w:val="20"/>
                <w:szCs w:val="20"/>
              </w:rPr>
            </w:pPr>
            <w:r>
              <w:rPr>
                <w:rFonts w:eastAsia="SimSun"/>
                <w:color w:val="000000"/>
                <w:sz w:val="20"/>
                <w:szCs w:val="20"/>
                <w:lang w:val="en-US" w:eastAsia="zh-CN" w:bidi="ar"/>
              </w:rPr>
              <w:t>15,15%</w:t>
            </w:r>
          </w:p>
        </w:tc>
        <w:tc>
          <w:tcPr>
            <w:tcW w:w="1041" w:type="dxa"/>
            <w:tcBorders>
              <w:top w:val="nil"/>
              <w:left w:val="nil"/>
              <w:bottom w:val="single" w:color="auto" w:sz="4" w:space="0"/>
              <w:right w:val="single" w:color="auto" w:sz="4" w:space="0"/>
            </w:tcBorders>
            <w:shd w:val="clear" w:color="auto" w:fill="auto"/>
            <w:noWrap/>
            <w:vAlign w:val="center"/>
          </w:tcPr>
          <w:p w14:paraId="528D484D">
            <w:pPr>
              <w:jc w:val="center"/>
              <w:textAlignment w:val="center"/>
              <w:rPr>
                <w:color w:val="000000"/>
                <w:sz w:val="20"/>
                <w:szCs w:val="20"/>
              </w:rPr>
            </w:pPr>
            <w:r>
              <w:rPr>
                <w:rFonts w:eastAsia="SimSun"/>
                <w:color w:val="000000"/>
                <w:sz w:val="20"/>
                <w:szCs w:val="20"/>
                <w:lang w:val="en-US" w:eastAsia="zh-CN" w:bidi="ar"/>
              </w:rPr>
              <w:t>3128,42%</w:t>
            </w:r>
          </w:p>
        </w:tc>
      </w:tr>
      <w:tr w14:paraId="2D056D35">
        <w:tblPrEx>
          <w:tblCellMar>
            <w:top w:w="0" w:type="dxa"/>
            <w:left w:w="108" w:type="dxa"/>
            <w:bottom w:w="0" w:type="dxa"/>
            <w:right w:w="108" w:type="dxa"/>
          </w:tblCellMar>
        </w:tblPrEx>
        <w:trPr>
          <w:trHeight w:val="147"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6DA0F7C9">
            <w:pPr>
              <w:jc w:val="center"/>
              <w:textAlignment w:val="bottom"/>
              <w:rPr>
                <w:color w:val="000000"/>
                <w:sz w:val="20"/>
                <w:szCs w:val="20"/>
              </w:rPr>
            </w:pPr>
            <w:r>
              <w:rPr>
                <w:rFonts w:eastAsia="SimSun"/>
                <w:color w:val="000000"/>
                <w:sz w:val="20"/>
                <w:szCs w:val="20"/>
                <w:lang w:val="en-US" w:eastAsia="zh-CN" w:bidi="ar"/>
              </w:rPr>
              <w:t>3</w:t>
            </w:r>
          </w:p>
        </w:tc>
        <w:tc>
          <w:tcPr>
            <w:tcW w:w="2644" w:type="dxa"/>
            <w:tcBorders>
              <w:top w:val="nil"/>
              <w:left w:val="nil"/>
              <w:bottom w:val="single" w:color="auto" w:sz="4" w:space="0"/>
              <w:right w:val="single" w:color="auto" w:sz="4" w:space="0"/>
            </w:tcBorders>
            <w:shd w:val="clear" w:color="auto" w:fill="auto"/>
            <w:vAlign w:val="center"/>
          </w:tcPr>
          <w:p w14:paraId="022FDB1E">
            <w:pPr>
              <w:jc w:val="center"/>
              <w:textAlignment w:val="center"/>
              <w:rPr>
                <w:color w:val="000000"/>
                <w:sz w:val="20"/>
                <w:szCs w:val="20"/>
              </w:rPr>
            </w:pPr>
            <w:r>
              <w:rPr>
                <w:rFonts w:eastAsia="SimSun"/>
                <w:color w:val="000000"/>
                <w:sz w:val="20"/>
                <w:szCs w:val="20"/>
                <w:lang w:eastAsia="zh-CN" w:bidi="ar"/>
              </w:rPr>
              <w:t>МП «Развитие культуры и сохранение культурного наследия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113A30E2">
            <w:pPr>
              <w:jc w:val="center"/>
              <w:textAlignment w:val="center"/>
              <w:rPr>
                <w:color w:val="000000"/>
                <w:sz w:val="20"/>
                <w:szCs w:val="20"/>
              </w:rPr>
            </w:pPr>
            <w:r>
              <w:rPr>
                <w:rFonts w:eastAsia="SimSun"/>
                <w:color w:val="000000"/>
                <w:sz w:val="20"/>
                <w:szCs w:val="20"/>
                <w:lang w:val="en-US" w:eastAsia="zh-CN" w:bidi="ar"/>
              </w:rPr>
              <w:t>67 406,43</w:t>
            </w:r>
          </w:p>
        </w:tc>
        <w:tc>
          <w:tcPr>
            <w:tcW w:w="1417" w:type="dxa"/>
            <w:tcBorders>
              <w:top w:val="nil"/>
              <w:left w:val="nil"/>
              <w:bottom w:val="single" w:color="auto" w:sz="4" w:space="0"/>
              <w:right w:val="single" w:color="auto" w:sz="4" w:space="0"/>
            </w:tcBorders>
            <w:shd w:val="clear" w:color="auto" w:fill="auto"/>
            <w:vAlign w:val="center"/>
          </w:tcPr>
          <w:p w14:paraId="1B5F9521">
            <w:pPr>
              <w:jc w:val="center"/>
              <w:textAlignment w:val="center"/>
              <w:rPr>
                <w:color w:val="000000"/>
                <w:sz w:val="20"/>
                <w:szCs w:val="20"/>
              </w:rPr>
            </w:pPr>
            <w:r>
              <w:rPr>
                <w:rFonts w:eastAsia="SimSun"/>
                <w:color w:val="000000"/>
                <w:sz w:val="20"/>
                <w:szCs w:val="20"/>
                <w:lang w:val="en-US" w:eastAsia="zh-CN" w:bidi="ar"/>
              </w:rPr>
              <w:t>142 526,57</w:t>
            </w:r>
          </w:p>
        </w:tc>
        <w:tc>
          <w:tcPr>
            <w:tcW w:w="1276" w:type="dxa"/>
            <w:tcBorders>
              <w:top w:val="nil"/>
              <w:left w:val="nil"/>
              <w:bottom w:val="single" w:color="auto" w:sz="4" w:space="0"/>
              <w:right w:val="single" w:color="auto" w:sz="4" w:space="0"/>
            </w:tcBorders>
            <w:shd w:val="clear" w:color="auto" w:fill="auto"/>
            <w:vAlign w:val="center"/>
          </w:tcPr>
          <w:p w14:paraId="3D916AAB">
            <w:pPr>
              <w:jc w:val="center"/>
              <w:textAlignment w:val="center"/>
              <w:rPr>
                <w:color w:val="000000"/>
                <w:sz w:val="20"/>
                <w:szCs w:val="20"/>
              </w:rPr>
            </w:pPr>
            <w:r>
              <w:rPr>
                <w:rFonts w:eastAsia="SimSun"/>
                <w:color w:val="000000"/>
                <w:sz w:val="20"/>
                <w:szCs w:val="20"/>
                <w:lang w:val="en-US" w:eastAsia="zh-CN" w:bidi="ar"/>
              </w:rPr>
              <w:t xml:space="preserve">65919,31 </w:t>
            </w:r>
          </w:p>
        </w:tc>
        <w:tc>
          <w:tcPr>
            <w:tcW w:w="1276" w:type="dxa"/>
            <w:tcBorders>
              <w:top w:val="nil"/>
              <w:left w:val="nil"/>
              <w:bottom w:val="single" w:color="auto" w:sz="4" w:space="0"/>
              <w:right w:val="single" w:color="auto" w:sz="4" w:space="0"/>
            </w:tcBorders>
            <w:shd w:val="clear" w:color="auto" w:fill="auto"/>
            <w:noWrap/>
            <w:vAlign w:val="center"/>
          </w:tcPr>
          <w:p w14:paraId="5D1F86CE">
            <w:pPr>
              <w:jc w:val="center"/>
              <w:textAlignment w:val="center"/>
              <w:rPr>
                <w:color w:val="000000"/>
                <w:sz w:val="20"/>
                <w:szCs w:val="20"/>
              </w:rPr>
            </w:pPr>
            <w:r>
              <w:rPr>
                <w:rFonts w:eastAsia="SimSun"/>
                <w:color w:val="000000"/>
                <w:sz w:val="20"/>
                <w:szCs w:val="20"/>
                <w:lang w:val="en-US" w:eastAsia="zh-CN" w:bidi="ar"/>
              </w:rPr>
              <w:t>46,25%</w:t>
            </w:r>
          </w:p>
        </w:tc>
        <w:tc>
          <w:tcPr>
            <w:tcW w:w="1041" w:type="dxa"/>
            <w:tcBorders>
              <w:top w:val="nil"/>
              <w:left w:val="nil"/>
              <w:bottom w:val="single" w:color="auto" w:sz="4" w:space="0"/>
              <w:right w:val="single" w:color="auto" w:sz="4" w:space="0"/>
            </w:tcBorders>
            <w:shd w:val="clear" w:color="auto" w:fill="auto"/>
            <w:noWrap/>
            <w:vAlign w:val="center"/>
          </w:tcPr>
          <w:p w14:paraId="59B85F26">
            <w:pPr>
              <w:jc w:val="center"/>
              <w:textAlignment w:val="center"/>
              <w:rPr>
                <w:color w:val="000000"/>
                <w:sz w:val="20"/>
                <w:szCs w:val="20"/>
              </w:rPr>
            </w:pPr>
            <w:r>
              <w:rPr>
                <w:rFonts w:eastAsia="SimSun"/>
                <w:color w:val="000000"/>
                <w:sz w:val="20"/>
                <w:szCs w:val="20"/>
                <w:lang w:val="en-US" w:eastAsia="zh-CN" w:bidi="ar"/>
              </w:rPr>
              <w:t>97,79%</w:t>
            </w:r>
          </w:p>
        </w:tc>
      </w:tr>
      <w:tr w14:paraId="54453B66">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29D7F9AB">
            <w:pPr>
              <w:jc w:val="center"/>
              <w:textAlignment w:val="bottom"/>
              <w:rPr>
                <w:color w:val="000000"/>
                <w:sz w:val="20"/>
                <w:szCs w:val="20"/>
              </w:rPr>
            </w:pPr>
            <w:r>
              <w:rPr>
                <w:rFonts w:eastAsia="SimSun"/>
                <w:color w:val="000000"/>
                <w:sz w:val="20"/>
                <w:szCs w:val="20"/>
                <w:lang w:val="en-US" w:eastAsia="zh-CN" w:bidi="ar"/>
              </w:rPr>
              <w:t>4</w:t>
            </w:r>
          </w:p>
        </w:tc>
        <w:tc>
          <w:tcPr>
            <w:tcW w:w="2644" w:type="dxa"/>
            <w:tcBorders>
              <w:top w:val="nil"/>
              <w:left w:val="nil"/>
              <w:bottom w:val="single" w:color="auto" w:sz="4" w:space="0"/>
              <w:right w:val="single" w:color="auto" w:sz="4" w:space="0"/>
            </w:tcBorders>
            <w:shd w:val="clear" w:color="auto" w:fill="auto"/>
            <w:vAlign w:val="center"/>
          </w:tcPr>
          <w:p w14:paraId="6030CD28">
            <w:pPr>
              <w:jc w:val="center"/>
              <w:textAlignment w:val="center"/>
              <w:rPr>
                <w:color w:val="000000"/>
                <w:sz w:val="20"/>
                <w:szCs w:val="20"/>
              </w:rPr>
            </w:pPr>
            <w:r>
              <w:rPr>
                <w:rFonts w:eastAsia="SimSun"/>
                <w:color w:val="000000"/>
                <w:sz w:val="20"/>
                <w:szCs w:val="20"/>
                <w:lang w:eastAsia="zh-CN" w:bidi="ar"/>
              </w:rPr>
              <w:t>МП «Охрана окружающей среды в МО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73A40FC9">
            <w:pPr>
              <w:jc w:val="center"/>
              <w:textAlignment w:val="center"/>
              <w:rPr>
                <w:color w:val="000000"/>
                <w:sz w:val="20"/>
                <w:szCs w:val="20"/>
              </w:rPr>
            </w:pPr>
            <w:r>
              <w:rPr>
                <w:rFonts w:eastAsia="SimSun"/>
                <w:color w:val="000000"/>
                <w:sz w:val="20"/>
                <w:szCs w:val="20"/>
                <w:lang w:val="en-US" w:eastAsia="zh-CN" w:bidi="ar"/>
              </w:rPr>
              <w:t>541,26</w:t>
            </w:r>
          </w:p>
        </w:tc>
        <w:tc>
          <w:tcPr>
            <w:tcW w:w="1417" w:type="dxa"/>
            <w:tcBorders>
              <w:top w:val="nil"/>
              <w:left w:val="nil"/>
              <w:bottom w:val="single" w:color="auto" w:sz="4" w:space="0"/>
              <w:right w:val="single" w:color="auto" w:sz="4" w:space="0"/>
            </w:tcBorders>
            <w:shd w:val="clear" w:color="auto" w:fill="auto"/>
            <w:vAlign w:val="center"/>
          </w:tcPr>
          <w:p w14:paraId="1BB30BB5">
            <w:pPr>
              <w:jc w:val="center"/>
              <w:textAlignment w:val="center"/>
              <w:rPr>
                <w:color w:val="000000"/>
                <w:sz w:val="20"/>
                <w:szCs w:val="20"/>
              </w:rPr>
            </w:pPr>
            <w:r>
              <w:rPr>
                <w:rFonts w:eastAsia="SimSun"/>
                <w:color w:val="000000"/>
                <w:sz w:val="20"/>
                <w:szCs w:val="20"/>
                <w:lang w:val="en-US" w:eastAsia="zh-CN" w:bidi="ar"/>
              </w:rPr>
              <w:t>1 122,07</w:t>
            </w:r>
          </w:p>
        </w:tc>
        <w:tc>
          <w:tcPr>
            <w:tcW w:w="1276" w:type="dxa"/>
            <w:tcBorders>
              <w:top w:val="nil"/>
              <w:left w:val="nil"/>
              <w:bottom w:val="single" w:color="auto" w:sz="4" w:space="0"/>
              <w:right w:val="single" w:color="auto" w:sz="4" w:space="0"/>
            </w:tcBorders>
            <w:shd w:val="clear" w:color="auto" w:fill="auto"/>
            <w:vAlign w:val="center"/>
          </w:tcPr>
          <w:p w14:paraId="10DDEDDA">
            <w:pPr>
              <w:jc w:val="center"/>
              <w:textAlignment w:val="center"/>
              <w:rPr>
                <w:color w:val="000000"/>
                <w:sz w:val="20"/>
                <w:szCs w:val="20"/>
              </w:rPr>
            </w:pPr>
            <w:r>
              <w:rPr>
                <w:rFonts w:eastAsia="SimSun"/>
                <w:color w:val="000000"/>
                <w:sz w:val="20"/>
                <w:szCs w:val="20"/>
                <w:lang w:val="en-US" w:eastAsia="zh-CN" w:bidi="ar"/>
              </w:rPr>
              <w:t xml:space="preserve">451,04 </w:t>
            </w:r>
          </w:p>
        </w:tc>
        <w:tc>
          <w:tcPr>
            <w:tcW w:w="1276" w:type="dxa"/>
            <w:tcBorders>
              <w:top w:val="nil"/>
              <w:left w:val="nil"/>
              <w:bottom w:val="single" w:color="auto" w:sz="4" w:space="0"/>
              <w:right w:val="single" w:color="auto" w:sz="4" w:space="0"/>
            </w:tcBorders>
            <w:shd w:val="clear" w:color="auto" w:fill="auto"/>
            <w:noWrap/>
            <w:vAlign w:val="center"/>
          </w:tcPr>
          <w:p w14:paraId="50E0C001">
            <w:pPr>
              <w:jc w:val="center"/>
              <w:textAlignment w:val="center"/>
              <w:rPr>
                <w:color w:val="000000"/>
                <w:sz w:val="20"/>
                <w:szCs w:val="20"/>
              </w:rPr>
            </w:pPr>
            <w:r>
              <w:rPr>
                <w:rFonts w:eastAsia="SimSun"/>
                <w:color w:val="000000"/>
                <w:sz w:val="20"/>
                <w:szCs w:val="20"/>
                <w:lang w:val="en-US" w:eastAsia="zh-CN" w:bidi="ar"/>
              </w:rPr>
              <w:t>40,20%</w:t>
            </w:r>
          </w:p>
        </w:tc>
        <w:tc>
          <w:tcPr>
            <w:tcW w:w="1041" w:type="dxa"/>
            <w:tcBorders>
              <w:top w:val="nil"/>
              <w:left w:val="nil"/>
              <w:bottom w:val="single" w:color="auto" w:sz="4" w:space="0"/>
              <w:right w:val="single" w:color="auto" w:sz="4" w:space="0"/>
            </w:tcBorders>
            <w:shd w:val="clear" w:color="auto" w:fill="auto"/>
            <w:noWrap/>
            <w:vAlign w:val="center"/>
          </w:tcPr>
          <w:p w14:paraId="4DA233AB">
            <w:pPr>
              <w:jc w:val="center"/>
              <w:textAlignment w:val="center"/>
              <w:rPr>
                <w:color w:val="000000"/>
                <w:sz w:val="20"/>
                <w:szCs w:val="20"/>
              </w:rPr>
            </w:pPr>
            <w:r>
              <w:rPr>
                <w:rFonts w:eastAsia="SimSun"/>
                <w:color w:val="000000"/>
                <w:sz w:val="20"/>
                <w:szCs w:val="20"/>
                <w:lang w:val="en-US" w:eastAsia="zh-CN" w:bidi="ar"/>
              </w:rPr>
              <w:t>83,33%</w:t>
            </w:r>
          </w:p>
        </w:tc>
      </w:tr>
      <w:tr w14:paraId="27692570">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5FE6B1BB">
            <w:pPr>
              <w:jc w:val="center"/>
              <w:textAlignment w:val="bottom"/>
              <w:rPr>
                <w:color w:val="000000"/>
                <w:sz w:val="20"/>
                <w:szCs w:val="20"/>
              </w:rPr>
            </w:pPr>
            <w:r>
              <w:rPr>
                <w:rFonts w:eastAsia="SimSun"/>
                <w:color w:val="000000"/>
                <w:sz w:val="20"/>
                <w:szCs w:val="20"/>
                <w:lang w:val="en-US" w:eastAsia="zh-CN" w:bidi="ar"/>
              </w:rPr>
              <w:t>5</w:t>
            </w:r>
          </w:p>
        </w:tc>
        <w:tc>
          <w:tcPr>
            <w:tcW w:w="2644" w:type="dxa"/>
            <w:tcBorders>
              <w:top w:val="nil"/>
              <w:left w:val="nil"/>
              <w:bottom w:val="single" w:color="auto" w:sz="4" w:space="0"/>
              <w:right w:val="single" w:color="auto" w:sz="4" w:space="0"/>
            </w:tcBorders>
            <w:shd w:val="clear" w:color="auto" w:fill="auto"/>
            <w:vAlign w:val="center"/>
          </w:tcPr>
          <w:p w14:paraId="092AA9DB">
            <w:pPr>
              <w:jc w:val="center"/>
              <w:textAlignment w:val="center"/>
              <w:rPr>
                <w:color w:val="000000"/>
                <w:sz w:val="20"/>
                <w:szCs w:val="20"/>
              </w:rPr>
            </w:pPr>
            <w:r>
              <w:rPr>
                <w:rFonts w:eastAsia="SimSun"/>
                <w:color w:val="000000"/>
                <w:sz w:val="20"/>
                <w:szCs w:val="20"/>
                <w:lang w:eastAsia="zh-CN" w:bidi="ar"/>
              </w:rPr>
              <w:t>МП «Развитие физической культуры и спорта в Ахтубинском районе»</w:t>
            </w:r>
          </w:p>
        </w:tc>
        <w:tc>
          <w:tcPr>
            <w:tcW w:w="1276" w:type="dxa"/>
            <w:tcBorders>
              <w:top w:val="nil"/>
              <w:left w:val="nil"/>
              <w:bottom w:val="single" w:color="auto" w:sz="4" w:space="0"/>
              <w:right w:val="single" w:color="auto" w:sz="4" w:space="0"/>
            </w:tcBorders>
            <w:shd w:val="clear" w:color="auto" w:fill="auto"/>
            <w:vAlign w:val="center"/>
          </w:tcPr>
          <w:p w14:paraId="05E49B91">
            <w:pPr>
              <w:jc w:val="center"/>
              <w:textAlignment w:val="center"/>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355,13</w:t>
            </w:r>
          </w:p>
        </w:tc>
        <w:tc>
          <w:tcPr>
            <w:tcW w:w="1417" w:type="dxa"/>
            <w:tcBorders>
              <w:top w:val="nil"/>
              <w:left w:val="nil"/>
              <w:bottom w:val="single" w:color="auto" w:sz="4" w:space="0"/>
              <w:right w:val="single" w:color="auto" w:sz="4" w:space="0"/>
            </w:tcBorders>
            <w:shd w:val="clear" w:color="auto" w:fill="auto"/>
            <w:vAlign w:val="center"/>
          </w:tcPr>
          <w:p w14:paraId="262B75AB">
            <w:pPr>
              <w:jc w:val="center"/>
              <w:textAlignment w:val="center"/>
              <w:rPr>
                <w:color w:val="000000"/>
                <w:sz w:val="20"/>
                <w:szCs w:val="20"/>
              </w:rPr>
            </w:pPr>
            <w:r>
              <w:rPr>
                <w:rFonts w:eastAsia="SimSun"/>
                <w:color w:val="000000"/>
                <w:sz w:val="20"/>
                <w:szCs w:val="20"/>
                <w:lang w:val="en-US" w:eastAsia="zh-CN" w:bidi="ar"/>
              </w:rPr>
              <w:t xml:space="preserve"> 882,62</w:t>
            </w:r>
          </w:p>
        </w:tc>
        <w:tc>
          <w:tcPr>
            <w:tcW w:w="1276" w:type="dxa"/>
            <w:tcBorders>
              <w:top w:val="nil"/>
              <w:left w:val="nil"/>
              <w:bottom w:val="single" w:color="auto" w:sz="4" w:space="0"/>
              <w:right w:val="single" w:color="auto" w:sz="4" w:space="0"/>
            </w:tcBorders>
            <w:shd w:val="clear" w:color="auto" w:fill="auto"/>
            <w:vAlign w:val="center"/>
          </w:tcPr>
          <w:p w14:paraId="58D0C50A">
            <w:pPr>
              <w:jc w:val="center"/>
              <w:textAlignment w:val="center"/>
              <w:rPr>
                <w:color w:val="000000"/>
                <w:sz w:val="20"/>
                <w:szCs w:val="20"/>
              </w:rPr>
            </w:pPr>
            <w:r>
              <w:rPr>
                <w:rFonts w:eastAsia="SimSun"/>
                <w:color w:val="000000"/>
                <w:sz w:val="20"/>
                <w:szCs w:val="20"/>
                <w:lang w:val="en-US" w:eastAsia="zh-CN" w:bidi="ar"/>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14:paraId="3B232200">
            <w:pPr>
              <w:jc w:val="center"/>
              <w:textAlignment w:val="center"/>
              <w:rPr>
                <w:color w:val="000000"/>
                <w:sz w:val="20"/>
                <w:szCs w:val="20"/>
              </w:rPr>
            </w:pPr>
            <w:r>
              <w:rPr>
                <w:rFonts w:eastAsia="SimSun"/>
                <w:color w:val="000000"/>
                <w:sz w:val="20"/>
                <w:szCs w:val="20"/>
                <w:lang w:val="en-US" w:eastAsia="zh-CN" w:bidi="ar"/>
              </w:rPr>
              <w:t>0,00%</w:t>
            </w:r>
          </w:p>
        </w:tc>
        <w:tc>
          <w:tcPr>
            <w:tcW w:w="1041" w:type="dxa"/>
            <w:tcBorders>
              <w:top w:val="nil"/>
              <w:left w:val="nil"/>
              <w:bottom w:val="single" w:color="auto" w:sz="4" w:space="0"/>
              <w:right w:val="single" w:color="auto" w:sz="4" w:space="0"/>
            </w:tcBorders>
            <w:shd w:val="clear" w:color="auto" w:fill="auto"/>
            <w:noWrap/>
            <w:vAlign w:val="center"/>
          </w:tcPr>
          <w:p w14:paraId="58A0527A">
            <w:pPr>
              <w:jc w:val="center"/>
              <w:textAlignment w:val="center"/>
              <w:rPr>
                <w:color w:val="000000"/>
                <w:sz w:val="20"/>
                <w:szCs w:val="20"/>
              </w:rPr>
            </w:pPr>
            <w:r>
              <w:rPr>
                <w:rFonts w:eastAsia="SimSun"/>
                <w:color w:val="000000"/>
                <w:sz w:val="20"/>
                <w:szCs w:val="20"/>
                <w:lang w:val="en-US" w:eastAsia="zh-CN" w:bidi="ar"/>
              </w:rPr>
              <w:t>0,00%</w:t>
            </w:r>
          </w:p>
        </w:tc>
      </w:tr>
      <w:tr w14:paraId="20C2F88F">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1A23E30A">
            <w:pPr>
              <w:jc w:val="center"/>
              <w:textAlignment w:val="bottom"/>
              <w:rPr>
                <w:color w:val="000000"/>
                <w:sz w:val="20"/>
                <w:szCs w:val="20"/>
              </w:rPr>
            </w:pPr>
            <w:r>
              <w:rPr>
                <w:rFonts w:eastAsia="SimSun"/>
                <w:color w:val="000000"/>
                <w:sz w:val="20"/>
                <w:szCs w:val="20"/>
                <w:lang w:val="en-US" w:eastAsia="zh-CN" w:bidi="ar"/>
              </w:rPr>
              <w:t>6</w:t>
            </w:r>
          </w:p>
        </w:tc>
        <w:tc>
          <w:tcPr>
            <w:tcW w:w="2644" w:type="dxa"/>
            <w:tcBorders>
              <w:top w:val="nil"/>
              <w:left w:val="nil"/>
              <w:bottom w:val="single" w:color="auto" w:sz="4" w:space="0"/>
              <w:right w:val="single" w:color="auto" w:sz="4" w:space="0"/>
            </w:tcBorders>
            <w:shd w:val="clear" w:color="auto" w:fill="auto"/>
            <w:vAlign w:val="center"/>
          </w:tcPr>
          <w:p w14:paraId="74FF88CB">
            <w:pPr>
              <w:jc w:val="center"/>
              <w:textAlignment w:val="center"/>
              <w:rPr>
                <w:color w:val="000000"/>
                <w:sz w:val="20"/>
                <w:szCs w:val="20"/>
              </w:rPr>
            </w:pPr>
            <w:r>
              <w:rPr>
                <w:rFonts w:eastAsia="SimSun"/>
                <w:color w:val="000000"/>
                <w:sz w:val="20"/>
                <w:szCs w:val="20"/>
                <w:lang w:val="en-US" w:eastAsia="zh-CN" w:bidi="ar"/>
              </w:rPr>
              <w:t>МП «Молодежь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52334B79">
            <w:pPr>
              <w:jc w:val="center"/>
              <w:textAlignment w:val="center"/>
              <w:rPr>
                <w:color w:val="000000"/>
                <w:sz w:val="20"/>
                <w:szCs w:val="20"/>
              </w:rPr>
            </w:pPr>
            <w:r>
              <w:rPr>
                <w:rFonts w:eastAsia="SimSun"/>
                <w:color w:val="000000"/>
                <w:sz w:val="20"/>
                <w:szCs w:val="20"/>
                <w:lang w:val="en-US" w:eastAsia="zh-CN" w:bidi="ar"/>
              </w:rPr>
              <w:t>2 936,05</w:t>
            </w:r>
          </w:p>
        </w:tc>
        <w:tc>
          <w:tcPr>
            <w:tcW w:w="1417" w:type="dxa"/>
            <w:tcBorders>
              <w:top w:val="nil"/>
              <w:left w:val="nil"/>
              <w:bottom w:val="single" w:color="auto" w:sz="4" w:space="0"/>
              <w:right w:val="single" w:color="auto" w:sz="4" w:space="0"/>
            </w:tcBorders>
            <w:shd w:val="clear" w:color="auto" w:fill="auto"/>
            <w:vAlign w:val="center"/>
          </w:tcPr>
          <w:p w14:paraId="07625EEC">
            <w:pPr>
              <w:jc w:val="center"/>
              <w:textAlignment w:val="center"/>
              <w:rPr>
                <w:color w:val="000000"/>
                <w:sz w:val="20"/>
                <w:szCs w:val="20"/>
              </w:rPr>
            </w:pPr>
            <w:r>
              <w:rPr>
                <w:rFonts w:eastAsia="SimSun"/>
                <w:color w:val="000000"/>
                <w:sz w:val="20"/>
                <w:szCs w:val="20"/>
                <w:lang w:val="en-US" w:eastAsia="zh-CN" w:bidi="ar"/>
              </w:rPr>
              <w:t>14 139,11</w:t>
            </w:r>
          </w:p>
        </w:tc>
        <w:tc>
          <w:tcPr>
            <w:tcW w:w="1276" w:type="dxa"/>
            <w:tcBorders>
              <w:top w:val="nil"/>
              <w:left w:val="nil"/>
              <w:bottom w:val="single" w:color="auto" w:sz="4" w:space="0"/>
              <w:right w:val="single" w:color="auto" w:sz="4" w:space="0"/>
            </w:tcBorders>
            <w:shd w:val="clear" w:color="auto" w:fill="auto"/>
            <w:vAlign w:val="center"/>
          </w:tcPr>
          <w:p w14:paraId="4E5AB1DB">
            <w:pPr>
              <w:jc w:val="center"/>
              <w:textAlignment w:val="center"/>
              <w:rPr>
                <w:color w:val="000000"/>
                <w:sz w:val="20"/>
                <w:szCs w:val="20"/>
              </w:rPr>
            </w:pPr>
            <w:r>
              <w:rPr>
                <w:rFonts w:eastAsia="SimSun"/>
                <w:color w:val="000000"/>
                <w:sz w:val="20"/>
                <w:szCs w:val="20"/>
                <w:lang w:val="en-US" w:eastAsia="zh-CN" w:bidi="ar"/>
              </w:rPr>
              <w:t xml:space="preserve">3327,69 </w:t>
            </w:r>
          </w:p>
        </w:tc>
        <w:tc>
          <w:tcPr>
            <w:tcW w:w="1276" w:type="dxa"/>
            <w:tcBorders>
              <w:top w:val="nil"/>
              <w:left w:val="nil"/>
              <w:bottom w:val="single" w:color="auto" w:sz="4" w:space="0"/>
              <w:right w:val="single" w:color="auto" w:sz="4" w:space="0"/>
            </w:tcBorders>
            <w:shd w:val="clear" w:color="auto" w:fill="auto"/>
            <w:noWrap/>
            <w:vAlign w:val="center"/>
          </w:tcPr>
          <w:p w14:paraId="7F798840">
            <w:pPr>
              <w:jc w:val="center"/>
              <w:textAlignment w:val="center"/>
              <w:rPr>
                <w:color w:val="000000"/>
                <w:sz w:val="20"/>
                <w:szCs w:val="20"/>
              </w:rPr>
            </w:pPr>
            <w:r>
              <w:rPr>
                <w:rFonts w:eastAsia="SimSun"/>
                <w:color w:val="000000"/>
                <w:sz w:val="20"/>
                <w:szCs w:val="20"/>
                <w:lang w:val="en-US" w:eastAsia="zh-CN" w:bidi="ar"/>
              </w:rPr>
              <w:t>23,54%</w:t>
            </w:r>
          </w:p>
        </w:tc>
        <w:tc>
          <w:tcPr>
            <w:tcW w:w="1041" w:type="dxa"/>
            <w:tcBorders>
              <w:top w:val="nil"/>
              <w:left w:val="nil"/>
              <w:bottom w:val="single" w:color="auto" w:sz="4" w:space="0"/>
              <w:right w:val="single" w:color="auto" w:sz="4" w:space="0"/>
            </w:tcBorders>
            <w:shd w:val="clear" w:color="auto" w:fill="auto"/>
            <w:noWrap/>
            <w:vAlign w:val="center"/>
          </w:tcPr>
          <w:p w14:paraId="330C0B65">
            <w:pPr>
              <w:jc w:val="center"/>
              <w:textAlignment w:val="center"/>
              <w:rPr>
                <w:color w:val="000000"/>
                <w:sz w:val="20"/>
                <w:szCs w:val="20"/>
              </w:rPr>
            </w:pPr>
            <w:r>
              <w:rPr>
                <w:rFonts w:eastAsia="SimSun"/>
                <w:color w:val="000000"/>
                <w:sz w:val="20"/>
                <w:szCs w:val="20"/>
                <w:lang w:val="en-US" w:eastAsia="zh-CN" w:bidi="ar"/>
              </w:rPr>
              <w:t>113,34%</w:t>
            </w:r>
          </w:p>
        </w:tc>
      </w:tr>
      <w:tr w14:paraId="4348E47C">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7DA3F599">
            <w:pPr>
              <w:jc w:val="center"/>
              <w:textAlignment w:val="bottom"/>
              <w:rPr>
                <w:color w:val="000000"/>
                <w:sz w:val="20"/>
                <w:szCs w:val="20"/>
              </w:rPr>
            </w:pPr>
            <w:r>
              <w:rPr>
                <w:rFonts w:eastAsia="SimSun"/>
                <w:color w:val="000000"/>
                <w:sz w:val="20"/>
                <w:szCs w:val="20"/>
                <w:lang w:val="en-US" w:eastAsia="zh-CN" w:bidi="ar"/>
              </w:rPr>
              <w:t>7</w:t>
            </w:r>
          </w:p>
        </w:tc>
        <w:tc>
          <w:tcPr>
            <w:tcW w:w="2644" w:type="dxa"/>
            <w:tcBorders>
              <w:top w:val="nil"/>
              <w:left w:val="nil"/>
              <w:bottom w:val="single" w:color="auto" w:sz="4" w:space="0"/>
              <w:right w:val="single" w:color="auto" w:sz="4" w:space="0"/>
            </w:tcBorders>
            <w:shd w:val="clear" w:color="auto" w:fill="auto"/>
            <w:vAlign w:val="center"/>
          </w:tcPr>
          <w:p w14:paraId="57EA2B98">
            <w:pPr>
              <w:jc w:val="center"/>
              <w:textAlignment w:val="center"/>
              <w:rPr>
                <w:color w:val="000000"/>
                <w:sz w:val="20"/>
                <w:szCs w:val="20"/>
              </w:rPr>
            </w:pPr>
            <w:r>
              <w:rPr>
                <w:rFonts w:eastAsia="SimSun"/>
                <w:color w:val="000000"/>
                <w:sz w:val="20"/>
                <w:szCs w:val="20"/>
                <w:lang w:eastAsia="zh-CN" w:bidi="ar"/>
              </w:rPr>
              <w:t>МП «Развитие агропромышленного комплекса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534B1CCB">
            <w:pPr>
              <w:jc w:val="center"/>
              <w:textAlignment w:val="center"/>
              <w:rPr>
                <w:color w:val="000000"/>
                <w:sz w:val="20"/>
                <w:szCs w:val="20"/>
              </w:rPr>
            </w:pPr>
            <w:r>
              <w:rPr>
                <w:rFonts w:eastAsia="SimSun"/>
                <w:color w:val="000000"/>
                <w:sz w:val="20"/>
                <w:szCs w:val="20"/>
                <w:lang w:val="en-US" w:eastAsia="zh-CN" w:bidi="ar"/>
              </w:rPr>
              <w:t>35 377,71</w:t>
            </w:r>
          </w:p>
        </w:tc>
        <w:tc>
          <w:tcPr>
            <w:tcW w:w="1417" w:type="dxa"/>
            <w:tcBorders>
              <w:top w:val="nil"/>
              <w:left w:val="nil"/>
              <w:bottom w:val="single" w:color="auto" w:sz="4" w:space="0"/>
              <w:right w:val="single" w:color="auto" w:sz="4" w:space="0"/>
            </w:tcBorders>
            <w:shd w:val="clear" w:color="auto" w:fill="auto"/>
            <w:vAlign w:val="center"/>
          </w:tcPr>
          <w:p w14:paraId="7B3A481A">
            <w:pPr>
              <w:jc w:val="center"/>
              <w:textAlignment w:val="center"/>
              <w:rPr>
                <w:color w:val="000000"/>
                <w:sz w:val="20"/>
                <w:szCs w:val="20"/>
              </w:rPr>
            </w:pPr>
            <w:r>
              <w:rPr>
                <w:rFonts w:eastAsia="SimSun"/>
                <w:color w:val="000000"/>
                <w:sz w:val="20"/>
                <w:szCs w:val="20"/>
                <w:lang w:val="en-US" w:eastAsia="zh-CN" w:bidi="ar"/>
              </w:rPr>
              <w:t>58 116,44</w:t>
            </w:r>
          </w:p>
        </w:tc>
        <w:tc>
          <w:tcPr>
            <w:tcW w:w="1276" w:type="dxa"/>
            <w:tcBorders>
              <w:top w:val="nil"/>
              <w:left w:val="nil"/>
              <w:bottom w:val="single" w:color="auto" w:sz="4" w:space="0"/>
              <w:right w:val="single" w:color="auto" w:sz="4" w:space="0"/>
            </w:tcBorders>
            <w:shd w:val="clear" w:color="auto" w:fill="auto"/>
            <w:vAlign w:val="center"/>
          </w:tcPr>
          <w:p w14:paraId="130076C5">
            <w:pPr>
              <w:jc w:val="center"/>
              <w:textAlignment w:val="center"/>
              <w:rPr>
                <w:color w:val="000000"/>
                <w:sz w:val="20"/>
                <w:szCs w:val="20"/>
              </w:rPr>
            </w:pPr>
            <w:r>
              <w:rPr>
                <w:rFonts w:eastAsia="SimSun"/>
                <w:color w:val="000000"/>
                <w:sz w:val="20"/>
                <w:szCs w:val="20"/>
                <w:lang w:val="en-US" w:eastAsia="zh-CN" w:bidi="ar"/>
              </w:rPr>
              <w:t xml:space="preserve">47052,97 </w:t>
            </w:r>
          </w:p>
        </w:tc>
        <w:tc>
          <w:tcPr>
            <w:tcW w:w="1276" w:type="dxa"/>
            <w:tcBorders>
              <w:top w:val="nil"/>
              <w:left w:val="nil"/>
              <w:bottom w:val="single" w:color="auto" w:sz="4" w:space="0"/>
              <w:right w:val="single" w:color="auto" w:sz="4" w:space="0"/>
            </w:tcBorders>
            <w:shd w:val="clear" w:color="auto" w:fill="auto"/>
            <w:noWrap/>
            <w:vAlign w:val="center"/>
          </w:tcPr>
          <w:p w14:paraId="54E011D8">
            <w:pPr>
              <w:jc w:val="center"/>
              <w:textAlignment w:val="center"/>
              <w:rPr>
                <w:color w:val="000000"/>
                <w:sz w:val="20"/>
                <w:szCs w:val="20"/>
              </w:rPr>
            </w:pPr>
            <w:r>
              <w:rPr>
                <w:rFonts w:eastAsia="SimSun"/>
                <w:color w:val="000000"/>
                <w:sz w:val="20"/>
                <w:szCs w:val="20"/>
                <w:lang w:val="en-US" w:eastAsia="zh-CN" w:bidi="ar"/>
              </w:rPr>
              <w:t>80,96%</w:t>
            </w:r>
          </w:p>
        </w:tc>
        <w:tc>
          <w:tcPr>
            <w:tcW w:w="1041" w:type="dxa"/>
            <w:tcBorders>
              <w:top w:val="nil"/>
              <w:left w:val="nil"/>
              <w:bottom w:val="single" w:color="auto" w:sz="4" w:space="0"/>
              <w:right w:val="single" w:color="auto" w:sz="4" w:space="0"/>
            </w:tcBorders>
            <w:shd w:val="clear" w:color="auto" w:fill="auto"/>
            <w:noWrap/>
            <w:vAlign w:val="center"/>
          </w:tcPr>
          <w:p w14:paraId="628A922D">
            <w:pPr>
              <w:jc w:val="center"/>
              <w:textAlignment w:val="center"/>
              <w:rPr>
                <w:color w:val="000000"/>
                <w:sz w:val="20"/>
                <w:szCs w:val="20"/>
              </w:rPr>
            </w:pPr>
            <w:r>
              <w:rPr>
                <w:rFonts w:eastAsia="SimSun"/>
                <w:color w:val="000000"/>
                <w:sz w:val="20"/>
                <w:szCs w:val="20"/>
                <w:lang w:val="en-US" w:eastAsia="zh-CN" w:bidi="ar"/>
              </w:rPr>
              <w:t>133,00%</w:t>
            </w:r>
          </w:p>
        </w:tc>
      </w:tr>
      <w:tr w14:paraId="7740276C">
        <w:tblPrEx>
          <w:tblCellMar>
            <w:top w:w="0" w:type="dxa"/>
            <w:left w:w="108" w:type="dxa"/>
            <w:bottom w:w="0" w:type="dxa"/>
            <w:right w:w="108" w:type="dxa"/>
          </w:tblCellMar>
        </w:tblPrEx>
        <w:trPr>
          <w:trHeight w:val="102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3709E850">
            <w:pPr>
              <w:jc w:val="center"/>
              <w:textAlignment w:val="bottom"/>
              <w:rPr>
                <w:color w:val="000000"/>
                <w:sz w:val="20"/>
                <w:szCs w:val="20"/>
              </w:rPr>
            </w:pPr>
            <w:r>
              <w:rPr>
                <w:rFonts w:eastAsia="SimSun"/>
                <w:color w:val="000000"/>
                <w:sz w:val="20"/>
                <w:szCs w:val="20"/>
                <w:lang w:val="en-US" w:eastAsia="zh-CN" w:bidi="ar"/>
              </w:rPr>
              <w:t>8</w:t>
            </w:r>
          </w:p>
        </w:tc>
        <w:tc>
          <w:tcPr>
            <w:tcW w:w="2644" w:type="dxa"/>
            <w:tcBorders>
              <w:top w:val="nil"/>
              <w:left w:val="nil"/>
              <w:bottom w:val="single" w:color="auto" w:sz="4" w:space="0"/>
              <w:right w:val="single" w:color="auto" w:sz="4" w:space="0"/>
            </w:tcBorders>
            <w:shd w:val="clear" w:color="auto" w:fill="auto"/>
            <w:vAlign w:val="center"/>
          </w:tcPr>
          <w:p w14:paraId="4B088B35">
            <w:pPr>
              <w:jc w:val="center"/>
              <w:textAlignment w:val="center"/>
              <w:rPr>
                <w:color w:val="000000"/>
                <w:sz w:val="20"/>
                <w:szCs w:val="20"/>
              </w:rPr>
            </w:pPr>
            <w:r>
              <w:rPr>
                <w:rFonts w:eastAsia="SimSun"/>
                <w:color w:val="000000"/>
                <w:sz w:val="20"/>
                <w:szCs w:val="20"/>
                <w:lang w:eastAsia="zh-CN" w:bidi="ar"/>
              </w:rPr>
              <w:t>МП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6A0E65D2">
            <w:pPr>
              <w:jc w:val="center"/>
              <w:textAlignment w:val="center"/>
              <w:rPr>
                <w:color w:val="000000"/>
                <w:sz w:val="20"/>
                <w:szCs w:val="20"/>
              </w:rPr>
            </w:pPr>
            <w:r>
              <w:rPr>
                <w:rFonts w:eastAsia="SimSun"/>
                <w:color w:val="000000"/>
                <w:sz w:val="20"/>
                <w:szCs w:val="20"/>
                <w:lang w:val="en-US" w:eastAsia="zh-CN" w:bidi="ar"/>
              </w:rPr>
              <w:t>61 280,33</w:t>
            </w:r>
          </w:p>
        </w:tc>
        <w:tc>
          <w:tcPr>
            <w:tcW w:w="1417" w:type="dxa"/>
            <w:tcBorders>
              <w:top w:val="nil"/>
              <w:left w:val="nil"/>
              <w:bottom w:val="single" w:color="auto" w:sz="4" w:space="0"/>
              <w:right w:val="single" w:color="auto" w:sz="4" w:space="0"/>
            </w:tcBorders>
            <w:shd w:val="clear" w:color="auto" w:fill="auto"/>
            <w:vAlign w:val="center"/>
          </w:tcPr>
          <w:p w14:paraId="2DC0B017">
            <w:pPr>
              <w:jc w:val="center"/>
              <w:textAlignment w:val="center"/>
              <w:rPr>
                <w:color w:val="000000"/>
                <w:sz w:val="20"/>
                <w:szCs w:val="20"/>
              </w:rPr>
            </w:pPr>
            <w:r>
              <w:rPr>
                <w:rFonts w:eastAsia="SimSun"/>
                <w:color w:val="000000"/>
                <w:sz w:val="20"/>
                <w:szCs w:val="20"/>
                <w:lang w:val="en-US" w:eastAsia="zh-CN" w:bidi="ar"/>
              </w:rPr>
              <w:t>171 651,95</w:t>
            </w:r>
          </w:p>
        </w:tc>
        <w:tc>
          <w:tcPr>
            <w:tcW w:w="1276" w:type="dxa"/>
            <w:tcBorders>
              <w:top w:val="nil"/>
              <w:left w:val="nil"/>
              <w:bottom w:val="single" w:color="auto" w:sz="4" w:space="0"/>
              <w:right w:val="single" w:color="auto" w:sz="4" w:space="0"/>
            </w:tcBorders>
            <w:shd w:val="clear" w:color="auto" w:fill="auto"/>
            <w:vAlign w:val="center"/>
          </w:tcPr>
          <w:p w14:paraId="78786C5D">
            <w:pPr>
              <w:jc w:val="center"/>
              <w:textAlignment w:val="center"/>
              <w:rPr>
                <w:color w:val="000000"/>
                <w:sz w:val="20"/>
                <w:szCs w:val="20"/>
              </w:rPr>
            </w:pPr>
            <w:r>
              <w:rPr>
                <w:rFonts w:eastAsia="SimSun"/>
                <w:color w:val="000000"/>
                <w:sz w:val="20"/>
                <w:szCs w:val="20"/>
                <w:lang w:val="en-US" w:eastAsia="zh-CN" w:bidi="ar"/>
              </w:rPr>
              <w:t xml:space="preserve">140718,56 </w:t>
            </w:r>
          </w:p>
        </w:tc>
        <w:tc>
          <w:tcPr>
            <w:tcW w:w="1276" w:type="dxa"/>
            <w:tcBorders>
              <w:top w:val="nil"/>
              <w:left w:val="nil"/>
              <w:bottom w:val="single" w:color="auto" w:sz="4" w:space="0"/>
              <w:right w:val="single" w:color="auto" w:sz="4" w:space="0"/>
            </w:tcBorders>
            <w:shd w:val="clear" w:color="auto" w:fill="auto"/>
            <w:noWrap/>
            <w:vAlign w:val="center"/>
          </w:tcPr>
          <w:p w14:paraId="5889B315">
            <w:pPr>
              <w:jc w:val="center"/>
              <w:textAlignment w:val="center"/>
              <w:rPr>
                <w:color w:val="000000"/>
                <w:sz w:val="20"/>
                <w:szCs w:val="20"/>
              </w:rPr>
            </w:pPr>
            <w:r>
              <w:rPr>
                <w:rFonts w:eastAsia="SimSun"/>
                <w:color w:val="000000"/>
                <w:sz w:val="20"/>
                <w:szCs w:val="20"/>
                <w:lang w:val="en-US" w:eastAsia="zh-CN" w:bidi="ar"/>
              </w:rPr>
              <w:t>81,98%</w:t>
            </w:r>
          </w:p>
        </w:tc>
        <w:tc>
          <w:tcPr>
            <w:tcW w:w="1041" w:type="dxa"/>
            <w:tcBorders>
              <w:top w:val="nil"/>
              <w:left w:val="nil"/>
              <w:bottom w:val="single" w:color="auto" w:sz="4" w:space="0"/>
              <w:right w:val="single" w:color="auto" w:sz="4" w:space="0"/>
            </w:tcBorders>
            <w:shd w:val="clear" w:color="auto" w:fill="auto"/>
            <w:noWrap/>
            <w:vAlign w:val="center"/>
          </w:tcPr>
          <w:p w14:paraId="28B8C6A9">
            <w:pPr>
              <w:jc w:val="center"/>
              <w:textAlignment w:val="center"/>
              <w:rPr>
                <w:color w:val="000000"/>
                <w:sz w:val="20"/>
                <w:szCs w:val="20"/>
              </w:rPr>
            </w:pPr>
            <w:r>
              <w:rPr>
                <w:rFonts w:eastAsia="SimSun"/>
                <w:color w:val="000000"/>
                <w:sz w:val="20"/>
                <w:szCs w:val="20"/>
                <w:lang w:val="en-US" w:eastAsia="zh-CN" w:bidi="ar"/>
              </w:rPr>
              <w:t>229,63%</w:t>
            </w:r>
          </w:p>
        </w:tc>
      </w:tr>
      <w:tr w14:paraId="24AD6EEC">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691CD6E6">
            <w:pPr>
              <w:jc w:val="center"/>
              <w:textAlignment w:val="bottom"/>
              <w:rPr>
                <w:color w:val="000000"/>
                <w:sz w:val="20"/>
                <w:szCs w:val="20"/>
              </w:rPr>
            </w:pPr>
            <w:r>
              <w:rPr>
                <w:rFonts w:eastAsia="SimSun"/>
                <w:color w:val="000000"/>
                <w:sz w:val="20"/>
                <w:szCs w:val="20"/>
                <w:lang w:val="en-US" w:eastAsia="zh-CN" w:bidi="ar"/>
              </w:rPr>
              <w:t>9</w:t>
            </w:r>
          </w:p>
        </w:tc>
        <w:tc>
          <w:tcPr>
            <w:tcW w:w="2644" w:type="dxa"/>
            <w:tcBorders>
              <w:top w:val="nil"/>
              <w:left w:val="nil"/>
              <w:bottom w:val="single" w:color="auto" w:sz="4" w:space="0"/>
              <w:right w:val="single" w:color="auto" w:sz="4" w:space="0"/>
            </w:tcBorders>
            <w:shd w:val="clear" w:color="auto" w:fill="auto"/>
            <w:vAlign w:val="center"/>
          </w:tcPr>
          <w:p w14:paraId="1DC06A27">
            <w:pPr>
              <w:jc w:val="center"/>
              <w:textAlignment w:val="center"/>
              <w:rPr>
                <w:color w:val="000000"/>
                <w:sz w:val="20"/>
                <w:szCs w:val="20"/>
              </w:rPr>
            </w:pPr>
            <w:r>
              <w:rPr>
                <w:rFonts w:eastAsia="SimSun"/>
                <w:color w:val="000000"/>
                <w:sz w:val="20"/>
                <w:szCs w:val="20"/>
                <w:lang w:eastAsia="zh-CN" w:bidi="ar"/>
              </w:rPr>
              <w:t>МП «Стимулирование развития жилищного строительства»</w:t>
            </w:r>
          </w:p>
        </w:tc>
        <w:tc>
          <w:tcPr>
            <w:tcW w:w="1276" w:type="dxa"/>
            <w:tcBorders>
              <w:top w:val="nil"/>
              <w:left w:val="nil"/>
              <w:bottom w:val="single" w:color="auto" w:sz="4" w:space="0"/>
              <w:right w:val="single" w:color="auto" w:sz="4" w:space="0"/>
            </w:tcBorders>
            <w:shd w:val="clear" w:color="auto" w:fill="auto"/>
            <w:vAlign w:val="center"/>
          </w:tcPr>
          <w:p w14:paraId="2783EAB8">
            <w:pPr>
              <w:jc w:val="center"/>
              <w:textAlignment w:val="center"/>
              <w:rPr>
                <w:color w:val="000000"/>
                <w:sz w:val="20"/>
                <w:szCs w:val="20"/>
              </w:rPr>
            </w:pPr>
            <w:r>
              <w:rPr>
                <w:rFonts w:eastAsia="SimSun"/>
                <w:color w:val="000000"/>
                <w:sz w:val="20"/>
                <w:szCs w:val="20"/>
                <w:lang w:val="en-US" w:eastAsia="zh-CN" w:bidi="ar"/>
              </w:rPr>
              <w:t>0,00</w:t>
            </w:r>
          </w:p>
        </w:tc>
        <w:tc>
          <w:tcPr>
            <w:tcW w:w="1417" w:type="dxa"/>
            <w:tcBorders>
              <w:top w:val="nil"/>
              <w:left w:val="nil"/>
              <w:bottom w:val="single" w:color="auto" w:sz="4" w:space="0"/>
              <w:right w:val="single" w:color="auto" w:sz="4" w:space="0"/>
            </w:tcBorders>
            <w:shd w:val="clear" w:color="auto" w:fill="auto"/>
            <w:vAlign w:val="center"/>
          </w:tcPr>
          <w:p w14:paraId="71D06817">
            <w:pPr>
              <w:jc w:val="center"/>
              <w:textAlignment w:val="center"/>
              <w:rPr>
                <w:color w:val="000000"/>
                <w:sz w:val="20"/>
                <w:szCs w:val="20"/>
              </w:rPr>
            </w:pPr>
            <w:r>
              <w:rPr>
                <w:rFonts w:eastAsia="SimSun"/>
                <w:color w:val="000000"/>
                <w:sz w:val="20"/>
                <w:szCs w:val="20"/>
                <w:lang w:val="en-US" w:eastAsia="zh-CN" w:bidi="ar"/>
              </w:rPr>
              <w:t>396 588,93</w:t>
            </w:r>
          </w:p>
        </w:tc>
        <w:tc>
          <w:tcPr>
            <w:tcW w:w="1276" w:type="dxa"/>
            <w:tcBorders>
              <w:top w:val="nil"/>
              <w:left w:val="nil"/>
              <w:bottom w:val="single" w:color="auto" w:sz="4" w:space="0"/>
              <w:right w:val="single" w:color="auto" w:sz="4" w:space="0"/>
            </w:tcBorders>
            <w:shd w:val="clear" w:color="auto" w:fill="auto"/>
            <w:vAlign w:val="center"/>
          </w:tcPr>
          <w:p w14:paraId="63D3096A">
            <w:pPr>
              <w:jc w:val="center"/>
              <w:textAlignment w:val="center"/>
              <w:rPr>
                <w:color w:val="000000"/>
                <w:sz w:val="20"/>
                <w:szCs w:val="20"/>
              </w:rPr>
            </w:pPr>
            <w:r>
              <w:rPr>
                <w:rFonts w:eastAsia="SimSun"/>
                <w:color w:val="000000"/>
                <w:sz w:val="20"/>
                <w:szCs w:val="20"/>
                <w:lang w:val="en-US" w:eastAsia="zh-CN" w:bidi="ar"/>
              </w:rPr>
              <w:t xml:space="preserve">43451,79 </w:t>
            </w:r>
          </w:p>
        </w:tc>
        <w:tc>
          <w:tcPr>
            <w:tcW w:w="1276" w:type="dxa"/>
            <w:tcBorders>
              <w:top w:val="nil"/>
              <w:left w:val="nil"/>
              <w:bottom w:val="single" w:color="auto" w:sz="4" w:space="0"/>
              <w:right w:val="single" w:color="auto" w:sz="4" w:space="0"/>
            </w:tcBorders>
            <w:shd w:val="clear" w:color="auto" w:fill="auto"/>
            <w:noWrap/>
            <w:vAlign w:val="center"/>
          </w:tcPr>
          <w:p w14:paraId="76C8723D">
            <w:pPr>
              <w:jc w:val="center"/>
              <w:textAlignment w:val="center"/>
              <w:rPr>
                <w:color w:val="000000"/>
                <w:sz w:val="20"/>
                <w:szCs w:val="20"/>
              </w:rPr>
            </w:pPr>
            <w:r>
              <w:rPr>
                <w:rFonts w:eastAsia="SimSun"/>
                <w:color w:val="000000"/>
                <w:sz w:val="20"/>
                <w:szCs w:val="20"/>
                <w:lang w:val="en-US" w:eastAsia="zh-CN" w:bidi="ar"/>
              </w:rPr>
              <w:t>10,96%</w:t>
            </w:r>
          </w:p>
        </w:tc>
        <w:tc>
          <w:tcPr>
            <w:tcW w:w="1041" w:type="dxa"/>
            <w:tcBorders>
              <w:top w:val="nil"/>
              <w:left w:val="nil"/>
              <w:bottom w:val="single" w:color="auto" w:sz="4" w:space="0"/>
              <w:right w:val="single" w:color="auto" w:sz="4" w:space="0"/>
            </w:tcBorders>
            <w:shd w:val="clear" w:color="auto" w:fill="auto"/>
            <w:noWrap/>
            <w:vAlign w:val="center"/>
          </w:tcPr>
          <w:p w14:paraId="0203C01B">
            <w:pPr>
              <w:jc w:val="center"/>
              <w:textAlignment w:val="center"/>
              <w:rPr>
                <w:color w:val="000000"/>
                <w:sz w:val="20"/>
                <w:szCs w:val="20"/>
              </w:rPr>
            </w:pPr>
            <w:r>
              <w:rPr>
                <w:rFonts w:eastAsia="SimSun"/>
                <w:color w:val="000000"/>
                <w:sz w:val="20"/>
                <w:szCs w:val="20"/>
                <w:lang w:val="en-US" w:eastAsia="zh-CN" w:bidi="ar"/>
              </w:rPr>
              <w:t>х</w:t>
            </w:r>
          </w:p>
        </w:tc>
      </w:tr>
      <w:tr w14:paraId="38C88A3C">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5431E633">
            <w:pPr>
              <w:jc w:val="center"/>
              <w:textAlignment w:val="bottom"/>
              <w:rPr>
                <w:color w:val="000000"/>
                <w:sz w:val="20"/>
                <w:szCs w:val="20"/>
              </w:rPr>
            </w:pPr>
            <w:r>
              <w:rPr>
                <w:rFonts w:eastAsia="SimSun"/>
                <w:color w:val="000000"/>
                <w:sz w:val="20"/>
                <w:szCs w:val="20"/>
                <w:lang w:val="en-US" w:eastAsia="zh-CN" w:bidi="ar"/>
              </w:rPr>
              <w:t>10</w:t>
            </w:r>
          </w:p>
        </w:tc>
        <w:tc>
          <w:tcPr>
            <w:tcW w:w="2644" w:type="dxa"/>
            <w:tcBorders>
              <w:top w:val="nil"/>
              <w:left w:val="nil"/>
              <w:bottom w:val="single" w:color="auto" w:sz="4" w:space="0"/>
              <w:right w:val="single" w:color="auto" w:sz="4" w:space="0"/>
            </w:tcBorders>
            <w:shd w:val="clear" w:color="auto" w:fill="auto"/>
            <w:vAlign w:val="center"/>
          </w:tcPr>
          <w:p w14:paraId="05589949">
            <w:pPr>
              <w:jc w:val="center"/>
              <w:textAlignment w:val="center"/>
              <w:rPr>
                <w:color w:val="000000"/>
                <w:sz w:val="20"/>
                <w:szCs w:val="20"/>
              </w:rPr>
            </w:pPr>
            <w:r>
              <w:rPr>
                <w:rFonts w:eastAsia="SimSun"/>
                <w:color w:val="000000"/>
                <w:sz w:val="20"/>
                <w:szCs w:val="20"/>
                <w:lang w:eastAsia="zh-CN" w:bidi="ar"/>
              </w:rPr>
              <w:t>МП «Комплексное развитие дорожной инфраструктуры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38E255B0">
            <w:pPr>
              <w:jc w:val="center"/>
              <w:textAlignment w:val="center"/>
              <w:rPr>
                <w:color w:val="000000"/>
                <w:sz w:val="20"/>
                <w:szCs w:val="20"/>
              </w:rPr>
            </w:pPr>
            <w:r>
              <w:rPr>
                <w:rFonts w:eastAsia="SimSun"/>
                <w:color w:val="000000"/>
                <w:sz w:val="20"/>
                <w:szCs w:val="20"/>
                <w:lang w:val="en-US" w:eastAsia="zh-CN" w:bidi="ar"/>
              </w:rPr>
              <w:t>23 475,39</w:t>
            </w:r>
          </w:p>
        </w:tc>
        <w:tc>
          <w:tcPr>
            <w:tcW w:w="1417" w:type="dxa"/>
            <w:tcBorders>
              <w:top w:val="nil"/>
              <w:left w:val="nil"/>
              <w:bottom w:val="single" w:color="auto" w:sz="4" w:space="0"/>
              <w:right w:val="single" w:color="auto" w:sz="4" w:space="0"/>
            </w:tcBorders>
            <w:shd w:val="clear" w:color="auto" w:fill="auto"/>
            <w:vAlign w:val="center"/>
          </w:tcPr>
          <w:p w14:paraId="3D94DC96">
            <w:pPr>
              <w:jc w:val="center"/>
              <w:textAlignment w:val="center"/>
              <w:rPr>
                <w:color w:val="000000"/>
                <w:sz w:val="20"/>
                <w:szCs w:val="20"/>
              </w:rPr>
            </w:pPr>
            <w:r>
              <w:rPr>
                <w:rFonts w:eastAsia="SimSun"/>
                <w:color w:val="000000"/>
                <w:sz w:val="20"/>
                <w:szCs w:val="20"/>
                <w:lang w:val="en-US" w:eastAsia="zh-CN" w:bidi="ar"/>
              </w:rPr>
              <w:t>94 029,05</w:t>
            </w:r>
          </w:p>
        </w:tc>
        <w:tc>
          <w:tcPr>
            <w:tcW w:w="1276" w:type="dxa"/>
            <w:tcBorders>
              <w:top w:val="nil"/>
              <w:left w:val="nil"/>
              <w:bottom w:val="single" w:color="auto" w:sz="4" w:space="0"/>
              <w:right w:val="single" w:color="auto" w:sz="4" w:space="0"/>
            </w:tcBorders>
            <w:shd w:val="clear" w:color="auto" w:fill="auto"/>
            <w:vAlign w:val="center"/>
          </w:tcPr>
          <w:p w14:paraId="4545DC3A">
            <w:pPr>
              <w:jc w:val="center"/>
              <w:textAlignment w:val="center"/>
              <w:rPr>
                <w:color w:val="000000"/>
                <w:sz w:val="20"/>
                <w:szCs w:val="20"/>
              </w:rPr>
            </w:pPr>
            <w:r>
              <w:rPr>
                <w:rFonts w:eastAsia="SimSun"/>
                <w:color w:val="000000"/>
                <w:sz w:val="20"/>
                <w:szCs w:val="20"/>
                <w:lang w:val="en-US" w:eastAsia="zh-CN" w:bidi="ar"/>
              </w:rPr>
              <w:t xml:space="preserve">18514,06 </w:t>
            </w:r>
          </w:p>
        </w:tc>
        <w:tc>
          <w:tcPr>
            <w:tcW w:w="1276" w:type="dxa"/>
            <w:tcBorders>
              <w:top w:val="nil"/>
              <w:left w:val="nil"/>
              <w:bottom w:val="single" w:color="auto" w:sz="4" w:space="0"/>
              <w:right w:val="single" w:color="auto" w:sz="4" w:space="0"/>
            </w:tcBorders>
            <w:shd w:val="clear" w:color="auto" w:fill="auto"/>
            <w:noWrap/>
            <w:vAlign w:val="center"/>
          </w:tcPr>
          <w:p w14:paraId="47191D78">
            <w:pPr>
              <w:jc w:val="center"/>
              <w:textAlignment w:val="center"/>
              <w:rPr>
                <w:color w:val="000000"/>
                <w:sz w:val="20"/>
                <w:szCs w:val="20"/>
              </w:rPr>
            </w:pPr>
            <w:r>
              <w:rPr>
                <w:rFonts w:eastAsia="SimSun"/>
                <w:color w:val="000000"/>
                <w:sz w:val="20"/>
                <w:szCs w:val="20"/>
                <w:lang w:val="en-US" w:eastAsia="zh-CN" w:bidi="ar"/>
              </w:rPr>
              <w:t>19,69%</w:t>
            </w:r>
          </w:p>
        </w:tc>
        <w:tc>
          <w:tcPr>
            <w:tcW w:w="1041" w:type="dxa"/>
            <w:tcBorders>
              <w:top w:val="nil"/>
              <w:left w:val="nil"/>
              <w:bottom w:val="single" w:color="auto" w:sz="4" w:space="0"/>
              <w:right w:val="single" w:color="auto" w:sz="4" w:space="0"/>
            </w:tcBorders>
            <w:shd w:val="clear" w:color="auto" w:fill="auto"/>
            <w:noWrap/>
            <w:vAlign w:val="center"/>
          </w:tcPr>
          <w:p w14:paraId="27C88DDD">
            <w:pPr>
              <w:jc w:val="center"/>
              <w:textAlignment w:val="center"/>
              <w:rPr>
                <w:color w:val="000000"/>
                <w:sz w:val="20"/>
                <w:szCs w:val="20"/>
              </w:rPr>
            </w:pPr>
            <w:r>
              <w:rPr>
                <w:rFonts w:eastAsia="SimSun"/>
                <w:color w:val="000000"/>
                <w:sz w:val="20"/>
                <w:szCs w:val="20"/>
                <w:lang w:val="en-US" w:eastAsia="zh-CN" w:bidi="ar"/>
              </w:rPr>
              <w:t>78,87%</w:t>
            </w:r>
          </w:p>
        </w:tc>
      </w:tr>
      <w:tr w14:paraId="6608F733">
        <w:tblPrEx>
          <w:tblCellMar>
            <w:top w:w="0" w:type="dxa"/>
            <w:left w:w="108" w:type="dxa"/>
            <w:bottom w:w="0" w:type="dxa"/>
            <w:right w:w="108"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3D037059">
            <w:pPr>
              <w:jc w:val="center"/>
              <w:textAlignment w:val="bottom"/>
              <w:rPr>
                <w:color w:val="000000"/>
                <w:sz w:val="20"/>
                <w:szCs w:val="20"/>
              </w:rPr>
            </w:pPr>
            <w:r>
              <w:rPr>
                <w:rFonts w:eastAsia="SimSun"/>
                <w:color w:val="000000"/>
                <w:sz w:val="20"/>
                <w:szCs w:val="20"/>
                <w:lang w:val="en-US" w:eastAsia="zh-CN" w:bidi="ar"/>
              </w:rPr>
              <w:t>11</w:t>
            </w:r>
          </w:p>
        </w:tc>
        <w:tc>
          <w:tcPr>
            <w:tcW w:w="2644" w:type="dxa"/>
            <w:tcBorders>
              <w:top w:val="nil"/>
              <w:left w:val="nil"/>
              <w:bottom w:val="single" w:color="auto" w:sz="4" w:space="0"/>
              <w:right w:val="single" w:color="auto" w:sz="4" w:space="0"/>
            </w:tcBorders>
            <w:shd w:val="clear" w:color="auto" w:fill="auto"/>
            <w:vAlign w:val="center"/>
          </w:tcPr>
          <w:p w14:paraId="0FB9F811">
            <w:pPr>
              <w:jc w:val="center"/>
              <w:textAlignment w:val="center"/>
              <w:rPr>
                <w:color w:val="000000"/>
                <w:sz w:val="20"/>
                <w:szCs w:val="20"/>
              </w:rPr>
            </w:pPr>
            <w:r>
              <w:rPr>
                <w:rFonts w:eastAsia="SimSun"/>
                <w:color w:val="000000"/>
                <w:sz w:val="20"/>
                <w:szCs w:val="20"/>
                <w:lang w:eastAsia="zh-CN" w:bidi="ar"/>
              </w:rPr>
              <w:t>МП «Создание условий для функционирования органов местного самоуправления муниципального образования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17D0F5AD">
            <w:pPr>
              <w:jc w:val="center"/>
              <w:textAlignment w:val="center"/>
              <w:rPr>
                <w:color w:val="000000"/>
                <w:sz w:val="20"/>
                <w:szCs w:val="20"/>
              </w:rPr>
            </w:pPr>
            <w:r>
              <w:rPr>
                <w:rFonts w:eastAsia="SimSun"/>
                <w:color w:val="000000"/>
                <w:sz w:val="20"/>
                <w:szCs w:val="20"/>
                <w:lang w:val="en-US" w:eastAsia="zh-CN" w:bidi="ar"/>
              </w:rPr>
              <w:t>19 162,22</w:t>
            </w:r>
          </w:p>
        </w:tc>
        <w:tc>
          <w:tcPr>
            <w:tcW w:w="1417" w:type="dxa"/>
            <w:tcBorders>
              <w:top w:val="nil"/>
              <w:left w:val="nil"/>
              <w:bottom w:val="single" w:color="auto" w:sz="4" w:space="0"/>
              <w:right w:val="single" w:color="auto" w:sz="4" w:space="0"/>
            </w:tcBorders>
            <w:shd w:val="clear" w:color="auto" w:fill="auto"/>
            <w:vAlign w:val="center"/>
          </w:tcPr>
          <w:p w14:paraId="6A488B8F">
            <w:pPr>
              <w:jc w:val="center"/>
              <w:textAlignment w:val="center"/>
              <w:rPr>
                <w:color w:val="000000"/>
                <w:sz w:val="20"/>
                <w:szCs w:val="20"/>
              </w:rPr>
            </w:pPr>
            <w:r>
              <w:rPr>
                <w:rFonts w:eastAsia="SimSun"/>
                <w:color w:val="000000"/>
                <w:sz w:val="20"/>
                <w:szCs w:val="20"/>
                <w:lang w:val="en-US" w:eastAsia="zh-CN" w:bidi="ar"/>
              </w:rPr>
              <w:t>37 671,77</w:t>
            </w:r>
          </w:p>
        </w:tc>
        <w:tc>
          <w:tcPr>
            <w:tcW w:w="1276" w:type="dxa"/>
            <w:tcBorders>
              <w:top w:val="nil"/>
              <w:left w:val="nil"/>
              <w:bottom w:val="single" w:color="auto" w:sz="4" w:space="0"/>
              <w:right w:val="single" w:color="auto" w:sz="4" w:space="0"/>
            </w:tcBorders>
            <w:shd w:val="clear" w:color="auto" w:fill="auto"/>
            <w:vAlign w:val="center"/>
          </w:tcPr>
          <w:p w14:paraId="1681D737">
            <w:pPr>
              <w:jc w:val="center"/>
              <w:textAlignment w:val="center"/>
              <w:rPr>
                <w:color w:val="000000"/>
                <w:sz w:val="20"/>
                <w:szCs w:val="20"/>
              </w:rPr>
            </w:pPr>
            <w:r>
              <w:rPr>
                <w:rFonts w:eastAsia="SimSun"/>
                <w:color w:val="000000"/>
                <w:sz w:val="20"/>
                <w:szCs w:val="20"/>
                <w:lang w:val="en-US" w:eastAsia="zh-CN" w:bidi="ar"/>
              </w:rPr>
              <w:t xml:space="preserve">19353,95 </w:t>
            </w:r>
          </w:p>
        </w:tc>
        <w:tc>
          <w:tcPr>
            <w:tcW w:w="1276" w:type="dxa"/>
            <w:tcBorders>
              <w:top w:val="nil"/>
              <w:left w:val="nil"/>
              <w:bottom w:val="single" w:color="auto" w:sz="4" w:space="0"/>
              <w:right w:val="single" w:color="auto" w:sz="4" w:space="0"/>
            </w:tcBorders>
            <w:shd w:val="clear" w:color="auto" w:fill="auto"/>
            <w:noWrap/>
            <w:vAlign w:val="center"/>
          </w:tcPr>
          <w:p w14:paraId="705043D1">
            <w:pPr>
              <w:jc w:val="center"/>
              <w:textAlignment w:val="center"/>
              <w:rPr>
                <w:color w:val="000000"/>
                <w:sz w:val="20"/>
                <w:szCs w:val="20"/>
              </w:rPr>
            </w:pPr>
            <w:r>
              <w:rPr>
                <w:rFonts w:eastAsia="SimSun"/>
                <w:color w:val="000000"/>
                <w:sz w:val="20"/>
                <w:szCs w:val="20"/>
                <w:lang w:val="en-US" w:eastAsia="zh-CN" w:bidi="ar"/>
              </w:rPr>
              <w:t>51,38%</w:t>
            </w:r>
          </w:p>
        </w:tc>
        <w:tc>
          <w:tcPr>
            <w:tcW w:w="1041" w:type="dxa"/>
            <w:tcBorders>
              <w:top w:val="nil"/>
              <w:left w:val="nil"/>
              <w:bottom w:val="single" w:color="auto" w:sz="4" w:space="0"/>
              <w:right w:val="single" w:color="auto" w:sz="4" w:space="0"/>
            </w:tcBorders>
            <w:shd w:val="clear" w:color="auto" w:fill="auto"/>
            <w:noWrap/>
            <w:vAlign w:val="center"/>
          </w:tcPr>
          <w:p w14:paraId="4E3AF8B7">
            <w:pPr>
              <w:jc w:val="center"/>
              <w:textAlignment w:val="center"/>
              <w:rPr>
                <w:color w:val="000000"/>
                <w:sz w:val="20"/>
                <w:szCs w:val="20"/>
              </w:rPr>
            </w:pPr>
            <w:r>
              <w:rPr>
                <w:rFonts w:eastAsia="SimSun"/>
                <w:color w:val="000000"/>
                <w:sz w:val="20"/>
                <w:szCs w:val="20"/>
                <w:lang w:val="en-US" w:eastAsia="zh-CN" w:bidi="ar"/>
              </w:rPr>
              <w:t>101,00%</w:t>
            </w:r>
          </w:p>
        </w:tc>
      </w:tr>
      <w:tr w14:paraId="09AA5BD9">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4007C244">
            <w:pPr>
              <w:jc w:val="center"/>
              <w:textAlignment w:val="bottom"/>
              <w:rPr>
                <w:color w:val="000000"/>
                <w:sz w:val="20"/>
                <w:szCs w:val="20"/>
              </w:rPr>
            </w:pPr>
            <w:r>
              <w:rPr>
                <w:rFonts w:eastAsia="SimSun"/>
                <w:color w:val="000000"/>
                <w:sz w:val="20"/>
                <w:szCs w:val="20"/>
                <w:lang w:val="en-US" w:eastAsia="zh-CN" w:bidi="ar"/>
              </w:rPr>
              <w:t>12</w:t>
            </w:r>
          </w:p>
        </w:tc>
        <w:tc>
          <w:tcPr>
            <w:tcW w:w="2644" w:type="dxa"/>
            <w:tcBorders>
              <w:top w:val="nil"/>
              <w:left w:val="nil"/>
              <w:bottom w:val="single" w:color="auto" w:sz="4" w:space="0"/>
              <w:right w:val="single" w:color="auto" w:sz="4" w:space="0"/>
            </w:tcBorders>
            <w:shd w:val="clear" w:color="auto" w:fill="auto"/>
            <w:vAlign w:val="center"/>
          </w:tcPr>
          <w:p w14:paraId="5B624C12">
            <w:pPr>
              <w:jc w:val="center"/>
              <w:textAlignment w:val="center"/>
              <w:rPr>
                <w:color w:val="000000"/>
                <w:sz w:val="20"/>
                <w:szCs w:val="20"/>
              </w:rPr>
            </w:pPr>
            <w:r>
              <w:rPr>
                <w:rFonts w:eastAsia="SimSun"/>
                <w:color w:val="000000"/>
                <w:sz w:val="20"/>
                <w:szCs w:val="20"/>
                <w:lang w:eastAsia="zh-CN" w:bidi="ar"/>
              </w:rPr>
              <w:t>МП «Повышение эффективности управления муниципальными финансами»</w:t>
            </w:r>
          </w:p>
        </w:tc>
        <w:tc>
          <w:tcPr>
            <w:tcW w:w="1276" w:type="dxa"/>
            <w:tcBorders>
              <w:top w:val="nil"/>
              <w:left w:val="nil"/>
              <w:bottom w:val="single" w:color="auto" w:sz="4" w:space="0"/>
              <w:right w:val="single" w:color="auto" w:sz="4" w:space="0"/>
            </w:tcBorders>
            <w:shd w:val="clear" w:color="auto" w:fill="auto"/>
            <w:vAlign w:val="center"/>
          </w:tcPr>
          <w:p w14:paraId="5DAF4E99">
            <w:pPr>
              <w:jc w:val="center"/>
              <w:textAlignment w:val="center"/>
              <w:rPr>
                <w:color w:val="000000"/>
                <w:sz w:val="20"/>
                <w:szCs w:val="20"/>
              </w:rPr>
            </w:pPr>
            <w:r>
              <w:rPr>
                <w:rFonts w:eastAsia="SimSun"/>
                <w:color w:val="000000"/>
                <w:sz w:val="20"/>
                <w:szCs w:val="20"/>
                <w:lang w:val="en-US" w:eastAsia="zh-CN" w:bidi="ar"/>
              </w:rPr>
              <w:t>37 500,56</w:t>
            </w:r>
          </w:p>
        </w:tc>
        <w:tc>
          <w:tcPr>
            <w:tcW w:w="1417" w:type="dxa"/>
            <w:tcBorders>
              <w:top w:val="nil"/>
              <w:left w:val="nil"/>
              <w:bottom w:val="single" w:color="auto" w:sz="4" w:space="0"/>
              <w:right w:val="single" w:color="auto" w:sz="4" w:space="0"/>
            </w:tcBorders>
            <w:shd w:val="clear" w:color="auto" w:fill="auto"/>
            <w:vAlign w:val="center"/>
          </w:tcPr>
          <w:p w14:paraId="43B67E04">
            <w:pPr>
              <w:jc w:val="center"/>
              <w:textAlignment w:val="center"/>
              <w:rPr>
                <w:color w:val="000000"/>
                <w:sz w:val="20"/>
                <w:szCs w:val="20"/>
              </w:rPr>
            </w:pPr>
            <w:r>
              <w:rPr>
                <w:rFonts w:eastAsia="SimSun"/>
                <w:color w:val="000000"/>
                <w:sz w:val="20"/>
                <w:szCs w:val="20"/>
                <w:lang w:val="en-US" w:eastAsia="zh-CN" w:bidi="ar"/>
              </w:rPr>
              <w:t>93 464,35</w:t>
            </w:r>
          </w:p>
        </w:tc>
        <w:tc>
          <w:tcPr>
            <w:tcW w:w="1276" w:type="dxa"/>
            <w:tcBorders>
              <w:top w:val="nil"/>
              <w:left w:val="nil"/>
              <w:bottom w:val="single" w:color="auto" w:sz="4" w:space="0"/>
              <w:right w:val="single" w:color="auto" w:sz="4" w:space="0"/>
            </w:tcBorders>
            <w:shd w:val="clear" w:color="auto" w:fill="auto"/>
            <w:vAlign w:val="center"/>
          </w:tcPr>
          <w:p w14:paraId="5124DFE9">
            <w:pPr>
              <w:jc w:val="center"/>
              <w:textAlignment w:val="center"/>
              <w:rPr>
                <w:color w:val="000000"/>
                <w:sz w:val="20"/>
                <w:szCs w:val="20"/>
              </w:rPr>
            </w:pPr>
            <w:r>
              <w:rPr>
                <w:rFonts w:eastAsia="SimSun"/>
                <w:color w:val="000000"/>
                <w:sz w:val="20"/>
                <w:szCs w:val="20"/>
                <w:lang w:val="en-US" w:eastAsia="zh-CN" w:bidi="ar"/>
              </w:rPr>
              <w:t xml:space="preserve">45124,53 </w:t>
            </w:r>
          </w:p>
        </w:tc>
        <w:tc>
          <w:tcPr>
            <w:tcW w:w="1276" w:type="dxa"/>
            <w:tcBorders>
              <w:top w:val="nil"/>
              <w:left w:val="nil"/>
              <w:bottom w:val="single" w:color="auto" w:sz="4" w:space="0"/>
              <w:right w:val="single" w:color="auto" w:sz="4" w:space="0"/>
            </w:tcBorders>
            <w:shd w:val="clear" w:color="auto" w:fill="auto"/>
            <w:noWrap/>
            <w:vAlign w:val="center"/>
          </w:tcPr>
          <w:p w14:paraId="67F626BD">
            <w:pPr>
              <w:jc w:val="center"/>
              <w:textAlignment w:val="center"/>
              <w:rPr>
                <w:color w:val="000000"/>
                <w:sz w:val="20"/>
                <w:szCs w:val="20"/>
              </w:rPr>
            </w:pPr>
            <w:r>
              <w:rPr>
                <w:rFonts w:eastAsia="SimSun"/>
                <w:color w:val="000000"/>
                <w:sz w:val="20"/>
                <w:szCs w:val="20"/>
                <w:lang w:val="en-US" w:eastAsia="zh-CN" w:bidi="ar"/>
              </w:rPr>
              <w:t>48,28%</w:t>
            </w:r>
          </w:p>
        </w:tc>
        <w:tc>
          <w:tcPr>
            <w:tcW w:w="1041" w:type="dxa"/>
            <w:tcBorders>
              <w:top w:val="nil"/>
              <w:left w:val="nil"/>
              <w:bottom w:val="single" w:color="auto" w:sz="4" w:space="0"/>
              <w:right w:val="single" w:color="auto" w:sz="4" w:space="0"/>
            </w:tcBorders>
            <w:shd w:val="clear" w:color="auto" w:fill="auto"/>
            <w:noWrap/>
            <w:vAlign w:val="center"/>
          </w:tcPr>
          <w:p w14:paraId="0AB408C4">
            <w:pPr>
              <w:jc w:val="center"/>
              <w:textAlignment w:val="center"/>
              <w:rPr>
                <w:color w:val="000000"/>
                <w:sz w:val="20"/>
                <w:szCs w:val="20"/>
              </w:rPr>
            </w:pPr>
            <w:r>
              <w:rPr>
                <w:rFonts w:eastAsia="SimSun"/>
                <w:color w:val="000000"/>
                <w:sz w:val="20"/>
                <w:szCs w:val="20"/>
                <w:lang w:val="en-US" w:eastAsia="zh-CN" w:bidi="ar"/>
              </w:rPr>
              <w:t>120,33%</w:t>
            </w:r>
          </w:p>
        </w:tc>
      </w:tr>
      <w:tr w14:paraId="42C5C6AA">
        <w:tblPrEx>
          <w:tblCellMar>
            <w:top w:w="0" w:type="dxa"/>
            <w:left w:w="108" w:type="dxa"/>
            <w:bottom w:w="0" w:type="dxa"/>
            <w:right w:w="108" w:type="dxa"/>
          </w:tblCellMar>
        </w:tblPrEx>
        <w:trPr>
          <w:trHeight w:val="102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548D83F9">
            <w:pPr>
              <w:jc w:val="center"/>
              <w:textAlignment w:val="bottom"/>
              <w:rPr>
                <w:color w:val="000000"/>
                <w:sz w:val="20"/>
                <w:szCs w:val="20"/>
              </w:rPr>
            </w:pPr>
            <w:r>
              <w:rPr>
                <w:rFonts w:eastAsia="SimSun"/>
                <w:color w:val="000000"/>
                <w:sz w:val="20"/>
                <w:szCs w:val="20"/>
                <w:lang w:val="en-US" w:eastAsia="zh-CN" w:bidi="ar"/>
              </w:rPr>
              <w:t>13</w:t>
            </w:r>
          </w:p>
        </w:tc>
        <w:tc>
          <w:tcPr>
            <w:tcW w:w="2644" w:type="dxa"/>
            <w:tcBorders>
              <w:top w:val="nil"/>
              <w:left w:val="nil"/>
              <w:bottom w:val="single" w:color="auto" w:sz="4" w:space="0"/>
              <w:right w:val="single" w:color="auto" w:sz="4" w:space="0"/>
            </w:tcBorders>
            <w:shd w:val="clear" w:color="auto" w:fill="auto"/>
            <w:vAlign w:val="center"/>
          </w:tcPr>
          <w:p w14:paraId="6EF5E09B">
            <w:pPr>
              <w:jc w:val="center"/>
              <w:textAlignment w:val="center"/>
              <w:rPr>
                <w:color w:val="000000"/>
                <w:sz w:val="20"/>
                <w:szCs w:val="20"/>
              </w:rPr>
            </w:pPr>
            <w:r>
              <w:rPr>
                <w:rFonts w:eastAsia="SimSun"/>
                <w:color w:val="000000"/>
                <w:sz w:val="20"/>
                <w:szCs w:val="20"/>
                <w:lang w:eastAsia="zh-CN" w:bidi="ar"/>
              </w:rPr>
              <w:t>МП «Развитие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w:t>
            </w:r>
          </w:p>
        </w:tc>
        <w:tc>
          <w:tcPr>
            <w:tcW w:w="1276" w:type="dxa"/>
            <w:tcBorders>
              <w:top w:val="nil"/>
              <w:left w:val="nil"/>
              <w:bottom w:val="single" w:color="auto" w:sz="4" w:space="0"/>
              <w:right w:val="single" w:color="auto" w:sz="4" w:space="0"/>
            </w:tcBorders>
            <w:shd w:val="clear" w:color="auto" w:fill="auto"/>
            <w:vAlign w:val="center"/>
          </w:tcPr>
          <w:p w14:paraId="54D2DC76">
            <w:pPr>
              <w:jc w:val="center"/>
              <w:textAlignment w:val="center"/>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446,71</w:t>
            </w:r>
          </w:p>
        </w:tc>
        <w:tc>
          <w:tcPr>
            <w:tcW w:w="1417" w:type="dxa"/>
            <w:tcBorders>
              <w:top w:val="nil"/>
              <w:left w:val="nil"/>
              <w:bottom w:val="single" w:color="auto" w:sz="4" w:space="0"/>
              <w:right w:val="single" w:color="auto" w:sz="4" w:space="0"/>
            </w:tcBorders>
            <w:shd w:val="clear" w:color="auto" w:fill="auto"/>
            <w:vAlign w:val="center"/>
          </w:tcPr>
          <w:p w14:paraId="4B5CFF41">
            <w:pPr>
              <w:jc w:val="center"/>
              <w:textAlignment w:val="center"/>
              <w:rPr>
                <w:color w:val="000000"/>
                <w:sz w:val="20"/>
                <w:szCs w:val="20"/>
              </w:rPr>
            </w:pPr>
            <w:r>
              <w:rPr>
                <w:rFonts w:eastAsia="SimSun"/>
                <w:color w:val="000000"/>
                <w:sz w:val="20"/>
                <w:szCs w:val="20"/>
                <w:lang w:val="en-US" w:eastAsia="zh-CN" w:bidi="ar"/>
              </w:rPr>
              <w:t>1 109,70</w:t>
            </w:r>
          </w:p>
        </w:tc>
        <w:tc>
          <w:tcPr>
            <w:tcW w:w="1276" w:type="dxa"/>
            <w:tcBorders>
              <w:top w:val="nil"/>
              <w:left w:val="nil"/>
              <w:bottom w:val="single" w:color="auto" w:sz="4" w:space="0"/>
              <w:right w:val="single" w:color="auto" w:sz="4" w:space="0"/>
            </w:tcBorders>
            <w:shd w:val="clear" w:color="auto" w:fill="auto"/>
            <w:vAlign w:val="center"/>
          </w:tcPr>
          <w:p w14:paraId="42260DBD">
            <w:pPr>
              <w:jc w:val="center"/>
              <w:textAlignment w:val="center"/>
              <w:rPr>
                <w:color w:val="000000"/>
                <w:sz w:val="20"/>
                <w:szCs w:val="20"/>
              </w:rPr>
            </w:pPr>
            <w:r>
              <w:rPr>
                <w:rFonts w:eastAsia="SimSun"/>
                <w:color w:val="000000"/>
                <w:sz w:val="20"/>
                <w:szCs w:val="20"/>
                <w:lang w:val="en-US" w:eastAsia="zh-CN" w:bidi="ar"/>
              </w:rPr>
              <w:t xml:space="preserve">809,44 </w:t>
            </w:r>
          </w:p>
        </w:tc>
        <w:tc>
          <w:tcPr>
            <w:tcW w:w="1276" w:type="dxa"/>
            <w:tcBorders>
              <w:top w:val="nil"/>
              <w:left w:val="nil"/>
              <w:bottom w:val="single" w:color="auto" w:sz="4" w:space="0"/>
              <w:right w:val="single" w:color="auto" w:sz="4" w:space="0"/>
            </w:tcBorders>
            <w:shd w:val="clear" w:color="auto" w:fill="auto"/>
            <w:noWrap/>
            <w:vAlign w:val="center"/>
          </w:tcPr>
          <w:p w14:paraId="71A4FB66">
            <w:pPr>
              <w:jc w:val="center"/>
              <w:textAlignment w:val="center"/>
              <w:rPr>
                <w:color w:val="000000"/>
                <w:sz w:val="20"/>
                <w:szCs w:val="20"/>
              </w:rPr>
            </w:pPr>
            <w:r>
              <w:rPr>
                <w:rFonts w:eastAsia="SimSun"/>
                <w:color w:val="000000"/>
                <w:sz w:val="20"/>
                <w:szCs w:val="20"/>
                <w:lang w:val="en-US" w:eastAsia="zh-CN" w:bidi="ar"/>
              </w:rPr>
              <w:t>72,94%</w:t>
            </w:r>
          </w:p>
        </w:tc>
        <w:tc>
          <w:tcPr>
            <w:tcW w:w="1041" w:type="dxa"/>
            <w:tcBorders>
              <w:top w:val="nil"/>
              <w:left w:val="nil"/>
              <w:bottom w:val="single" w:color="auto" w:sz="4" w:space="0"/>
              <w:right w:val="single" w:color="auto" w:sz="4" w:space="0"/>
            </w:tcBorders>
            <w:shd w:val="clear" w:color="auto" w:fill="auto"/>
            <w:noWrap/>
            <w:vAlign w:val="center"/>
          </w:tcPr>
          <w:p w14:paraId="1CBDBE7E">
            <w:pPr>
              <w:jc w:val="center"/>
              <w:textAlignment w:val="center"/>
              <w:rPr>
                <w:color w:val="000000"/>
                <w:sz w:val="20"/>
                <w:szCs w:val="20"/>
              </w:rPr>
            </w:pPr>
            <w:r>
              <w:rPr>
                <w:rFonts w:eastAsia="SimSun"/>
                <w:color w:val="000000"/>
                <w:sz w:val="20"/>
                <w:szCs w:val="20"/>
                <w:lang w:val="en-US" w:eastAsia="zh-CN" w:bidi="ar"/>
              </w:rPr>
              <w:t>181,20%</w:t>
            </w:r>
          </w:p>
        </w:tc>
      </w:tr>
      <w:tr w14:paraId="2D4E99EE">
        <w:tblPrEx>
          <w:tblCellMar>
            <w:top w:w="0" w:type="dxa"/>
            <w:left w:w="108" w:type="dxa"/>
            <w:bottom w:w="0" w:type="dxa"/>
            <w:right w:w="108"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1C25F049">
            <w:pPr>
              <w:jc w:val="center"/>
              <w:textAlignment w:val="bottom"/>
              <w:rPr>
                <w:color w:val="000000"/>
                <w:sz w:val="20"/>
                <w:szCs w:val="20"/>
              </w:rPr>
            </w:pPr>
            <w:r>
              <w:rPr>
                <w:rFonts w:eastAsia="SimSun"/>
                <w:color w:val="000000"/>
                <w:sz w:val="20"/>
                <w:szCs w:val="20"/>
                <w:lang w:val="en-US" w:eastAsia="zh-CN" w:bidi="ar"/>
              </w:rPr>
              <w:t>14</w:t>
            </w:r>
          </w:p>
        </w:tc>
        <w:tc>
          <w:tcPr>
            <w:tcW w:w="2644" w:type="dxa"/>
            <w:tcBorders>
              <w:top w:val="nil"/>
              <w:left w:val="nil"/>
              <w:bottom w:val="single" w:color="auto" w:sz="4" w:space="0"/>
              <w:right w:val="single" w:color="auto" w:sz="4" w:space="0"/>
            </w:tcBorders>
            <w:shd w:val="clear" w:color="auto" w:fill="auto"/>
            <w:vAlign w:val="center"/>
          </w:tcPr>
          <w:p w14:paraId="32CEF373">
            <w:pPr>
              <w:jc w:val="center"/>
              <w:textAlignment w:val="center"/>
              <w:rPr>
                <w:color w:val="000000"/>
                <w:sz w:val="20"/>
                <w:szCs w:val="20"/>
              </w:rPr>
            </w:pPr>
            <w:r>
              <w:rPr>
                <w:rFonts w:eastAsia="SimSun"/>
                <w:color w:val="000000"/>
                <w:sz w:val="20"/>
                <w:szCs w:val="20"/>
                <w:lang w:eastAsia="zh-CN" w:bidi="ar"/>
              </w:rPr>
              <w:t>МП «Реализация функций органов местного самоуправления муниципального образования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0CD1C552">
            <w:pPr>
              <w:jc w:val="center"/>
              <w:textAlignment w:val="center"/>
              <w:rPr>
                <w:color w:val="000000"/>
                <w:sz w:val="20"/>
                <w:szCs w:val="20"/>
              </w:rPr>
            </w:pPr>
            <w:r>
              <w:rPr>
                <w:rFonts w:eastAsia="SimSun"/>
                <w:color w:val="000000"/>
                <w:sz w:val="20"/>
                <w:szCs w:val="20"/>
                <w:lang w:val="en-US" w:eastAsia="zh-CN" w:bidi="ar"/>
              </w:rPr>
              <w:t>17 786,73</w:t>
            </w:r>
          </w:p>
        </w:tc>
        <w:tc>
          <w:tcPr>
            <w:tcW w:w="1417" w:type="dxa"/>
            <w:tcBorders>
              <w:top w:val="nil"/>
              <w:left w:val="nil"/>
              <w:bottom w:val="single" w:color="auto" w:sz="4" w:space="0"/>
              <w:right w:val="single" w:color="auto" w:sz="4" w:space="0"/>
            </w:tcBorders>
            <w:shd w:val="clear" w:color="auto" w:fill="auto"/>
            <w:vAlign w:val="center"/>
          </w:tcPr>
          <w:p w14:paraId="7D64CE09">
            <w:pPr>
              <w:jc w:val="center"/>
              <w:textAlignment w:val="center"/>
              <w:rPr>
                <w:color w:val="000000"/>
                <w:sz w:val="20"/>
                <w:szCs w:val="20"/>
              </w:rPr>
            </w:pPr>
            <w:r>
              <w:rPr>
                <w:rFonts w:eastAsia="SimSun"/>
                <w:color w:val="000000"/>
                <w:sz w:val="20"/>
                <w:szCs w:val="20"/>
                <w:lang w:val="en-US" w:eastAsia="zh-CN" w:bidi="ar"/>
              </w:rPr>
              <w:t>51 452,68</w:t>
            </w:r>
          </w:p>
        </w:tc>
        <w:tc>
          <w:tcPr>
            <w:tcW w:w="1276" w:type="dxa"/>
            <w:tcBorders>
              <w:top w:val="nil"/>
              <w:left w:val="nil"/>
              <w:bottom w:val="single" w:color="auto" w:sz="4" w:space="0"/>
              <w:right w:val="single" w:color="auto" w:sz="4" w:space="0"/>
            </w:tcBorders>
            <w:shd w:val="clear" w:color="auto" w:fill="auto"/>
            <w:vAlign w:val="center"/>
          </w:tcPr>
          <w:p w14:paraId="754869B3">
            <w:pPr>
              <w:jc w:val="center"/>
              <w:textAlignment w:val="center"/>
              <w:rPr>
                <w:color w:val="000000"/>
                <w:sz w:val="20"/>
                <w:szCs w:val="20"/>
              </w:rPr>
            </w:pPr>
            <w:r>
              <w:rPr>
                <w:rFonts w:eastAsia="SimSun"/>
                <w:color w:val="000000"/>
                <w:sz w:val="20"/>
                <w:szCs w:val="20"/>
                <w:lang w:val="en-US" w:eastAsia="zh-CN" w:bidi="ar"/>
              </w:rPr>
              <w:t xml:space="preserve">21556,64 </w:t>
            </w:r>
          </w:p>
        </w:tc>
        <w:tc>
          <w:tcPr>
            <w:tcW w:w="1276" w:type="dxa"/>
            <w:tcBorders>
              <w:top w:val="nil"/>
              <w:left w:val="nil"/>
              <w:bottom w:val="single" w:color="auto" w:sz="4" w:space="0"/>
              <w:right w:val="single" w:color="auto" w:sz="4" w:space="0"/>
            </w:tcBorders>
            <w:shd w:val="clear" w:color="auto" w:fill="auto"/>
            <w:noWrap/>
            <w:vAlign w:val="center"/>
          </w:tcPr>
          <w:p w14:paraId="24C3FB41">
            <w:pPr>
              <w:jc w:val="center"/>
              <w:textAlignment w:val="center"/>
              <w:rPr>
                <w:color w:val="000000"/>
                <w:sz w:val="20"/>
                <w:szCs w:val="20"/>
              </w:rPr>
            </w:pPr>
            <w:r>
              <w:rPr>
                <w:rFonts w:eastAsia="SimSun"/>
                <w:color w:val="000000"/>
                <w:sz w:val="20"/>
                <w:szCs w:val="20"/>
                <w:lang w:val="en-US" w:eastAsia="zh-CN" w:bidi="ar"/>
              </w:rPr>
              <w:t>41,90%</w:t>
            </w:r>
          </w:p>
        </w:tc>
        <w:tc>
          <w:tcPr>
            <w:tcW w:w="1041" w:type="dxa"/>
            <w:tcBorders>
              <w:top w:val="nil"/>
              <w:left w:val="nil"/>
              <w:bottom w:val="single" w:color="auto" w:sz="4" w:space="0"/>
              <w:right w:val="single" w:color="auto" w:sz="4" w:space="0"/>
            </w:tcBorders>
            <w:shd w:val="clear" w:color="auto" w:fill="auto"/>
            <w:noWrap/>
            <w:vAlign w:val="center"/>
          </w:tcPr>
          <w:p w14:paraId="0C286C2B">
            <w:pPr>
              <w:jc w:val="center"/>
              <w:textAlignment w:val="center"/>
              <w:rPr>
                <w:color w:val="000000"/>
                <w:sz w:val="20"/>
                <w:szCs w:val="20"/>
              </w:rPr>
            </w:pPr>
            <w:r>
              <w:rPr>
                <w:rFonts w:eastAsia="SimSun"/>
                <w:color w:val="000000"/>
                <w:sz w:val="20"/>
                <w:szCs w:val="20"/>
                <w:lang w:val="en-US" w:eastAsia="zh-CN" w:bidi="ar"/>
              </w:rPr>
              <w:t>121,20%</w:t>
            </w:r>
          </w:p>
        </w:tc>
      </w:tr>
      <w:tr w14:paraId="34B3A0A0">
        <w:tblPrEx>
          <w:tblCellMar>
            <w:top w:w="0" w:type="dxa"/>
            <w:left w:w="108" w:type="dxa"/>
            <w:bottom w:w="0" w:type="dxa"/>
            <w:right w:w="108" w:type="dxa"/>
          </w:tblCellMar>
        </w:tblPrEx>
        <w:trPr>
          <w:trHeight w:val="51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74C70A97">
            <w:pPr>
              <w:jc w:val="center"/>
              <w:textAlignment w:val="bottom"/>
              <w:rPr>
                <w:color w:val="000000"/>
                <w:sz w:val="20"/>
                <w:szCs w:val="20"/>
              </w:rPr>
            </w:pPr>
            <w:r>
              <w:rPr>
                <w:rFonts w:eastAsia="SimSun"/>
                <w:color w:val="000000"/>
                <w:sz w:val="20"/>
                <w:szCs w:val="20"/>
                <w:lang w:val="en-US" w:eastAsia="zh-CN" w:bidi="ar"/>
              </w:rPr>
              <w:t>15</w:t>
            </w:r>
          </w:p>
        </w:tc>
        <w:tc>
          <w:tcPr>
            <w:tcW w:w="2644" w:type="dxa"/>
            <w:tcBorders>
              <w:top w:val="nil"/>
              <w:left w:val="nil"/>
              <w:bottom w:val="single" w:color="auto" w:sz="4" w:space="0"/>
              <w:right w:val="single" w:color="auto" w:sz="4" w:space="0"/>
            </w:tcBorders>
            <w:shd w:val="clear" w:color="auto" w:fill="auto"/>
            <w:vAlign w:val="center"/>
          </w:tcPr>
          <w:p w14:paraId="6EF53189">
            <w:pPr>
              <w:jc w:val="center"/>
              <w:textAlignment w:val="center"/>
              <w:rPr>
                <w:color w:val="000000"/>
                <w:sz w:val="20"/>
                <w:szCs w:val="20"/>
              </w:rPr>
            </w:pPr>
            <w:r>
              <w:rPr>
                <w:rFonts w:eastAsia="SimSun"/>
                <w:color w:val="000000"/>
                <w:sz w:val="20"/>
                <w:szCs w:val="20"/>
                <w:lang w:eastAsia="zh-CN" w:bidi="ar"/>
              </w:rPr>
              <w:t>МП «Обеспечение безопасности жизнедеятельности населения Ахтубинского района»</w:t>
            </w:r>
          </w:p>
        </w:tc>
        <w:tc>
          <w:tcPr>
            <w:tcW w:w="1276" w:type="dxa"/>
            <w:tcBorders>
              <w:top w:val="nil"/>
              <w:left w:val="nil"/>
              <w:bottom w:val="single" w:color="auto" w:sz="4" w:space="0"/>
              <w:right w:val="single" w:color="auto" w:sz="4" w:space="0"/>
            </w:tcBorders>
            <w:shd w:val="clear" w:color="auto" w:fill="auto"/>
            <w:vAlign w:val="center"/>
          </w:tcPr>
          <w:p w14:paraId="3EE7CAAB">
            <w:pPr>
              <w:jc w:val="center"/>
              <w:textAlignment w:val="center"/>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0,00</w:t>
            </w:r>
          </w:p>
        </w:tc>
        <w:tc>
          <w:tcPr>
            <w:tcW w:w="1417" w:type="dxa"/>
            <w:tcBorders>
              <w:top w:val="nil"/>
              <w:left w:val="nil"/>
              <w:bottom w:val="single" w:color="auto" w:sz="4" w:space="0"/>
              <w:right w:val="single" w:color="auto" w:sz="4" w:space="0"/>
            </w:tcBorders>
            <w:shd w:val="clear" w:color="auto" w:fill="auto"/>
            <w:vAlign w:val="center"/>
          </w:tcPr>
          <w:p w14:paraId="5B1A3364">
            <w:pPr>
              <w:jc w:val="center"/>
              <w:textAlignment w:val="center"/>
              <w:rPr>
                <w:color w:val="000000"/>
                <w:sz w:val="20"/>
                <w:szCs w:val="20"/>
              </w:rPr>
            </w:pPr>
            <w:r>
              <w:rPr>
                <w:rFonts w:eastAsia="SimSun"/>
                <w:color w:val="000000"/>
                <w:sz w:val="20"/>
                <w:szCs w:val="20"/>
                <w:lang w:val="en-US" w:eastAsia="zh-CN" w:bidi="ar"/>
              </w:rPr>
              <w:t>1 118,64</w:t>
            </w:r>
          </w:p>
        </w:tc>
        <w:tc>
          <w:tcPr>
            <w:tcW w:w="1276" w:type="dxa"/>
            <w:tcBorders>
              <w:top w:val="nil"/>
              <w:left w:val="nil"/>
              <w:bottom w:val="single" w:color="auto" w:sz="4" w:space="0"/>
              <w:right w:val="single" w:color="auto" w:sz="4" w:space="0"/>
            </w:tcBorders>
            <w:shd w:val="clear" w:color="auto" w:fill="auto"/>
            <w:vAlign w:val="center"/>
          </w:tcPr>
          <w:p w14:paraId="083D272A">
            <w:pPr>
              <w:jc w:val="center"/>
              <w:textAlignment w:val="center"/>
              <w:rPr>
                <w:color w:val="000000"/>
                <w:sz w:val="20"/>
                <w:szCs w:val="20"/>
              </w:rPr>
            </w:pPr>
            <w:r>
              <w:rPr>
                <w:rFonts w:eastAsia="SimSun"/>
                <w:color w:val="000000"/>
                <w:sz w:val="20"/>
                <w:szCs w:val="20"/>
                <w:lang w:val="en-US" w:eastAsia="zh-CN" w:bidi="ar"/>
              </w:rPr>
              <w:t xml:space="preserve">184,61 </w:t>
            </w:r>
          </w:p>
        </w:tc>
        <w:tc>
          <w:tcPr>
            <w:tcW w:w="1276" w:type="dxa"/>
            <w:tcBorders>
              <w:top w:val="nil"/>
              <w:left w:val="nil"/>
              <w:bottom w:val="single" w:color="auto" w:sz="4" w:space="0"/>
              <w:right w:val="single" w:color="auto" w:sz="4" w:space="0"/>
            </w:tcBorders>
            <w:shd w:val="clear" w:color="auto" w:fill="auto"/>
            <w:noWrap/>
            <w:vAlign w:val="center"/>
          </w:tcPr>
          <w:p w14:paraId="49191A70">
            <w:pPr>
              <w:jc w:val="center"/>
              <w:textAlignment w:val="center"/>
              <w:rPr>
                <w:color w:val="000000"/>
                <w:sz w:val="20"/>
                <w:szCs w:val="20"/>
              </w:rPr>
            </w:pPr>
            <w:r>
              <w:rPr>
                <w:rFonts w:eastAsia="SimSun"/>
                <w:color w:val="000000"/>
                <w:sz w:val="20"/>
                <w:szCs w:val="20"/>
                <w:lang w:val="en-US" w:eastAsia="zh-CN" w:bidi="ar"/>
              </w:rPr>
              <w:t>16,50%</w:t>
            </w:r>
          </w:p>
        </w:tc>
        <w:tc>
          <w:tcPr>
            <w:tcW w:w="1041" w:type="dxa"/>
            <w:tcBorders>
              <w:top w:val="nil"/>
              <w:left w:val="nil"/>
              <w:bottom w:val="single" w:color="auto" w:sz="4" w:space="0"/>
              <w:right w:val="single" w:color="auto" w:sz="4" w:space="0"/>
            </w:tcBorders>
            <w:shd w:val="clear" w:color="auto" w:fill="auto"/>
            <w:noWrap/>
            <w:vAlign w:val="center"/>
          </w:tcPr>
          <w:p w14:paraId="0226DBEC">
            <w:pPr>
              <w:jc w:val="center"/>
              <w:textAlignment w:val="center"/>
              <w:rPr>
                <w:color w:val="000000"/>
                <w:sz w:val="20"/>
                <w:szCs w:val="20"/>
              </w:rPr>
            </w:pPr>
            <w:r>
              <w:rPr>
                <w:rFonts w:eastAsia="SimSun"/>
                <w:color w:val="000000"/>
                <w:sz w:val="20"/>
                <w:szCs w:val="20"/>
                <w:lang w:val="en-US" w:eastAsia="zh-CN" w:bidi="ar"/>
              </w:rPr>
              <w:t>х</w:t>
            </w:r>
          </w:p>
        </w:tc>
      </w:tr>
      <w:tr w14:paraId="74D0F957">
        <w:tblPrEx>
          <w:tblCellMar>
            <w:top w:w="0" w:type="dxa"/>
            <w:left w:w="108" w:type="dxa"/>
            <w:bottom w:w="0" w:type="dxa"/>
            <w:right w:w="108" w:type="dxa"/>
          </w:tblCellMar>
        </w:tblPrEx>
        <w:trPr>
          <w:trHeight w:val="147"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7706CF27">
            <w:pPr>
              <w:jc w:val="center"/>
              <w:textAlignment w:val="bottom"/>
              <w:rPr>
                <w:color w:val="000000"/>
                <w:sz w:val="20"/>
                <w:szCs w:val="20"/>
              </w:rPr>
            </w:pPr>
            <w:r>
              <w:rPr>
                <w:rFonts w:eastAsia="SimSun"/>
                <w:color w:val="000000"/>
                <w:sz w:val="20"/>
                <w:szCs w:val="20"/>
                <w:lang w:val="en-US" w:eastAsia="zh-CN" w:bidi="ar"/>
              </w:rPr>
              <w:t>16</w:t>
            </w:r>
          </w:p>
        </w:tc>
        <w:tc>
          <w:tcPr>
            <w:tcW w:w="2644" w:type="dxa"/>
            <w:tcBorders>
              <w:top w:val="nil"/>
              <w:left w:val="nil"/>
              <w:bottom w:val="single" w:color="auto" w:sz="4" w:space="0"/>
              <w:right w:val="single" w:color="auto" w:sz="4" w:space="0"/>
            </w:tcBorders>
            <w:shd w:val="clear" w:color="auto" w:fill="auto"/>
            <w:vAlign w:val="center"/>
          </w:tcPr>
          <w:p w14:paraId="761417D8">
            <w:pPr>
              <w:jc w:val="center"/>
              <w:textAlignment w:val="center"/>
              <w:rPr>
                <w:color w:val="000000"/>
                <w:sz w:val="20"/>
                <w:szCs w:val="20"/>
              </w:rPr>
            </w:pPr>
            <w:r>
              <w:rPr>
                <w:rFonts w:eastAsia="SimSun"/>
                <w:color w:val="000000"/>
                <w:sz w:val="20"/>
                <w:szCs w:val="20"/>
                <w:lang w:eastAsia="zh-CN" w:bidi="ar"/>
              </w:rPr>
              <w:t xml:space="preserve">МП «Совершенствование системы управления муниципальной собственностью </w:t>
            </w:r>
            <w:r>
              <w:rPr>
                <w:rFonts w:eastAsia="SimSun"/>
                <w:color w:val="000000"/>
                <w:sz w:val="20"/>
                <w:szCs w:val="20"/>
                <w:lang w:val="en-US" w:eastAsia="zh-CN" w:bidi="ar"/>
              </w:rPr>
              <w:t>МО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330D2096">
            <w:pPr>
              <w:jc w:val="center"/>
              <w:textAlignment w:val="center"/>
              <w:rPr>
                <w:color w:val="000000"/>
                <w:sz w:val="20"/>
                <w:szCs w:val="20"/>
              </w:rPr>
            </w:pPr>
            <w:r>
              <w:rPr>
                <w:rFonts w:eastAsia="SimSun"/>
                <w:color w:val="000000"/>
                <w:sz w:val="20"/>
                <w:szCs w:val="20"/>
                <w:lang w:val="en-US" w:eastAsia="zh-CN" w:bidi="ar"/>
              </w:rPr>
              <w:t>4 881,66</w:t>
            </w:r>
          </w:p>
        </w:tc>
        <w:tc>
          <w:tcPr>
            <w:tcW w:w="1417" w:type="dxa"/>
            <w:tcBorders>
              <w:top w:val="nil"/>
              <w:left w:val="nil"/>
              <w:bottom w:val="single" w:color="auto" w:sz="4" w:space="0"/>
              <w:right w:val="single" w:color="auto" w:sz="4" w:space="0"/>
            </w:tcBorders>
            <w:shd w:val="clear" w:color="auto" w:fill="auto"/>
            <w:vAlign w:val="center"/>
          </w:tcPr>
          <w:p w14:paraId="2EDCA28E">
            <w:pPr>
              <w:jc w:val="center"/>
              <w:textAlignment w:val="center"/>
              <w:rPr>
                <w:color w:val="000000"/>
                <w:sz w:val="20"/>
                <w:szCs w:val="20"/>
              </w:rPr>
            </w:pPr>
            <w:r>
              <w:rPr>
                <w:rFonts w:eastAsia="SimSun"/>
                <w:color w:val="000000"/>
                <w:sz w:val="20"/>
                <w:szCs w:val="20"/>
                <w:lang w:val="en-US" w:eastAsia="zh-CN" w:bidi="ar"/>
              </w:rPr>
              <w:t>6 998,53</w:t>
            </w:r>
          </w:p>
        </w:tc>
        <w:tc>
          <w:tcPr>
            <w:tcW w:w="1276" w:type="dxa"/>
            <w:tcBorders>
              <w:top w:val="nil"/>
              <w:left w:val="nil"/>
              <w:bottom w:val="single" w:color="auto" w:sz="4" w:space="0"/>
              <w:right w:val="single" w:color="auto" w:sz="4" w:space="0"/>
            </w:tcBorders>
            <w:shd w:val="clear" w:color="auto" w:fill="auto"/>
            <w:vAlign w:val="center"/>
          </w:tcPr>
          <w:p w14:paraId="7D751634">
            <w:pPr>
              <w:jc w:val="center"/>
              <w:textAlignment w:val="center"/>
              <w:rPr>
                <w:color w:val="000000"/>
                <w:sz w:val="20"/>
                <w:szCs w:val="20"/>
              </w:rPr>
            </w:pPr>
            <w:r>
              <w:rPr>
                <w:rFonts w:eastAsia="SimSun"/>
                <w:color w:val="000000"/>
                <w:sz w:val="20"/>
                <w:szCs w:val="20"/>
                <w:lang w:val="en-US" w:eastAsia="zh-CN" w:bidi="ar"/>
              </w:rPr>
              <w:t xml:space="preserve">2152,41 </w:t>
            </w:r>
          </w:p>
        </w:tc>
        <w:tc>
          <w:tcPr>
            <w:tcW w:w="1276" w:type="dxa"/>
            <w:tcBorders>
              <w:top w:val="nil"/>
              <w:left w:val="nil"/>
              <w:bottom w:val="single" w:color="auto" w:sz="4" w:space="0"/>
              <w:right w:val="single" w:color="auto" w:sz="4" w:space="0"/>
            </w:tcBorders>
            <w:shd w:val="clear" w:color="auto" w:fill="auto"/>
            <w:noWrap/>
            <w:vAlign w:val="center"/>
          </w:tcPr>
          <w:p w14:paraId="10B23CDB">
            <w:pPr>
              <w:jc w:val="center"/>
              <w:textAlignment w:val="center"/>
              <w:rPr>
                <w:color w:val="000000"/>
                <w:sz w:val="20"/>
                <w:szCs w:val="20"/>
              </w:rPr>
            </w:pPr>
            <w:r>
              <w:rPr>
                <w:rFonts w:eastAsia="SimSun"/>
                <w:color w:val="000000"/>
                <w:sz w:val="20"/>
                <w:szCs w:val="20"/>
                <w:lang w:val="en-US" w:eastAsia="zh-CN" w:bidi="ar"/>
              </w:rPr>
              <w:t>30,76%</w:t>
            </w:r>
          </w:p>
        </w:tc>
        <w:tc>
          <w:tcPr>
            <w:tcW w:w="1041" w:type="dxa"/>
            <w:tcBorders>
              <w:top w:val="nil"/>
              <w:left w:val="nil"/>
              <w:bottom w:val="single" w:color="auto" w:sz="4" w:space="0"/>
              <w:right w:val="single" w:color="auto" w:sz="4" w:space="0"/>
            </w:tcBorders>
            <w:shd w:val="clear" w:color="auto" w:fill="auto"/>
            <w:noWrap/>
            <w:vAlign w:val="center"/>
          </w:tcPr>
          <w:p w14:paraId="5BCFB7FF">
            <w:pPr>
              <w:jc w:val="center"/>
              <w:textAlignment w:val="center"/>
              <w:rPr>
                <w:color w:val="000000"/>
                <w:sz w:val="20"/>
                <w:szCs w:val="20"/>
              </w:rPr>
            </w:pPr>
            <w:r>
              <w:rPr>
                <w:rFonts w:eastAsia="SimSun"/>
                <w:color w:val="000000"/>
                <w:sz w:val="20"/>
                <w:szCs w:val="20"/>
                <w:lang w:val="en-US" w:eastAsia="zh-CN" w:bidi="ar"/>
              </w:rPr>
              <w:t>44,09%</w:t>
            </w:r>
          </w:p>
        </w:tc>
      </w:tr>
      <w:tr w14:paraId="7BE0E334">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056AB71E">
            <w:pPr>
              <w:jc w:val="center"/>
              <w:textAlignment w:val="bottom"/>
              <w:rPr>
                <w:color w:val="000000"/>
                <w:sz w:val="20"/>
                <w:szCs w:val="20"/>
              </w:rPr>
            </w:pPr>
            <w:r>
              <w:rPr>
                <w:rFonts w:eastAsia="SimSun"/>
                <w:color w:val="000000"/>
                <w:sz w:val="20"/>
                <w:szCs w:val="20"/>
                <w:lang w:val="en-US" w:eastAsia="zh-CN" w:bidi="ar"/>
              </w:rPr>
              <w:t>17</w:t>
            </w:r>
          </w:p>
        </w:tc>
        <w:tc>
          <w:tcPr>
            <w:tcW w:w="2644" w:type="dxa"/>
            <w:tcBorders>
              <w:top w:val="nil"/>
              <w:left w:val="nil"/>
              <w:bottom w:val="single" w:color="auto" w:sz="4" w:space="0"/>
              <w:right w:val="single" w:color="auto" w:sz="4" w:space="0"/>
            </w:tcBorders>
            <w:shd w:val="clear" w:color="auto" w:fill="auto"/>
            <w:vAlign w:val="center"/>
          </w:tcPr>
          <w:p w14:paraId="48FB3C7B">
            <w:pPr>
              <w:jc w:val="center"/>
              <w:textAlignment w:val="center"/>
              <w:rPr>
                <w:color w:val="000000"/>
                <w:sz w:val="20"/>
                <w:szCs w:val="20"/>
              </w:rPr>
            </w:pPr>
            <w:r>
              <w:rPr>
                <w:rFonts w:eastAsia="SimSun"/>
                <w:color w:val="000000"/>
                <w:sz w:val="20"/>
                <w:szCs w:val="20"/>
                <w:lang w:val="en-US" w:eastAsia="zh-CN" w:bidi="ar"/>
              </w:rPr>
              <w:t>Иные непрограммные мероприятия</w:t>
            </w:r>
          </w:p>
        </w:tc>
        <w:tc>
          <w:tcPr>
            <w:tcW w:w="1276" w:type="dxa"/>
            <w:tcBorders>
              <w:top w:val="nil"/>
              <w:left w:val="nil"/>
              <w:bottom w:val="single" w:color="auto" w:sz="4" w:space="0"/>
              <w:right w:val="single" w:color="auto" w:sz="4" w:space="0"/>
            </w:tcBorders>
            <w:shd w:val="clear" w:color="auto" w:fill="auto"/>
            <w:vAlign w:val="center"/>
          </w:tcPr>
          <w:p w14:paraId="7E317974">
            <w:pPr>
              <w:jc w:val="center"/>
              <w:textAlignment w:val="center"/>
              <w:rPr>
                <w:color w:val="000000"/>
                <w:sz w:val="20"/>
                <w:szCs w:val="20"/>
              </w:rPr>
            </w:pPr>
            <w:r>
              <w:rPr>
                <w:rFonts w:eastAsia="SimSun"/>
                <w:color w:val="000000"/>
                <w:sz w:val="20"/>
                <w:szCs w:val="20"/>
                <w:lang w:val="en-US" w:eastAsia="zh-CN" w:bidi="ar"/>
              </w:rPr>
              <w:t>6 358,10</w:t>
            </w:r>
          </w:p>
        </w:tc>
        <w:tc>
          <w:tcPr>
            <w:tcW w:w="1417" w:type="dxa"/>
            <w:tcBorders>
              <w:top w:val="nil"/>
              <w:left w:val="nil"/>
              <w:bottom w:val="single" w:color="auto" w:sz="4" w:space="0"/>
              <w:right w:val="single" w:color="auto" w:sz="4" w:space="0"/>
            </w:tcBorders>
            <w:shd w:val="clear" w:color="auto" w:fill="auto"/>
            <w:vAlign w:val="center"/>
          </w:tcPr>
          <w:p w14:paraId="5863AE8F">
            <w:pPr>
              <w:jc w:val="center"/>
              <w:textAlignment w:val="center"/>
              <w:rPr>
                <w:color w:val="000000"/>
                <w:sz w:val="20"/>
                <w:szCs w:val="20"/>
              </w:rPr>
            </w:pPr>
            <w:r>
              <w:rPr>
                <w:rFonts w:eastAsia="SimSun"/>
                <w:color w:val="000000"/>
                <w:sz w:val="20"/>
                <w:szCs w:val="20"/>
                <w:lang w:val="en-US" w:eastAsia="zh-CN" w:bidi="ar"/>
              </w:rPr>
              <w:t>31 831,69</w:t>
            </w:r>
          </w:p>
        </w:tc>
        <w:tc>
          <w:tcPr>
            <w:tcW w:w="1276" w:type="dxa"/>
            <w:tcBorders>
              <w:top w:val="nil"/>
              <w:left w:val="nil"/>
              <w:bottom w:val="single" w:color="auto" w:sz="4" w:space="0"/>
              <w:right w:val="single" w:color="auto" w:sz="4" w:space="0"/>
            </w:tcBorders>
            <w:shd w:val="clear" w:color="auto" w:fill="auto"/>
            <w:vAlign w:val="center"/>
          </w:tcPr>
          <w:p w14:paraId="3A3C483D">
            <w:pPr>
              <w:jc w:val="center"/>
              <w:textAlignment w:val="center"/>
              <w:rPr>
                <w:color w:val="000000"/>
                <w:sz w:val="20"/>
                <w:szCs w:val="20"/>
              </w:rPr>
            </w:pPr>
            <w:r>
              <w:rPr>
                <w:rFonts w:eastAsia="SimSun"/>
                <w:color w:val="000000"/>
                <w:sz w:val="20"/>
                <w:szCs w:val="20"/>
                <w:lang w:val="en-US" w:eastAsia="zh-CN" w:bidi="ar"/>
              </w:rPr>
              <w:t xml:space="preserve">12788,01 </w:t>
            </w:r>
          </w:p>
        </w:tc>
        <w:tc>
          <w:tcPr>
            <w:tcW w:w="1276" w:type="dxa"/>
            <w:tcBorders>
              <w:top w:val="nil"/>
              <w:left w:val="nil"/>
              <w:bottom w:val="single" w:color="auto" w:sz="4" w:space="0"/>
              <w:right w:val="single" w:color="auto" w:sz="4" w:space="0"/>
            </w:tcBorders>
            <w:shd w:val="clear" w:color="auto" w:fill="auto"/>
            <w:noWrap/>
            <w:vAlign w:val="center"/>
          </w:tcPr>
          <w:p w14:paraId="1256FBEE">
            <w:pPr>
              <w:jc w:val="center"/>
              <w:textAlignment w:val="center"/>
              <w:rPr>
                <w:color w:val="000000"/>
                <w:sz w:val="20"/>
                <w:szCs w:val="20"/>
              </w:rPr>
            </w:pPr>
            <w:r>
              <w:rPr>
                <w:rFonts w:eastAsia="SimSun"/>
                <w:color w:val="000000"/>
                <w:sz w:val="20"/>
                <w:szCs w:val="20"/>
                <w:lang w:val="en-US" w:eastAsia="zh-CN" w:bidi="ar"/>
              </w:rPr>
              <w:t>40,17%</w:t>
            </w:r>
          </w:p>
        </w:tc>
        <w:tc>
          <w:tcPr>
            <w:tcW w:w="1041" w:type="dxa"/>
            <w:tcBorders>
              <w:top w:val="nil"/>
              <w:left w:val="nil"/>
              <w:bottom w:val="single" w:color="auto" w:sz="4" w:space="0"/>
              <w:right w:val="single" w:color="auto" w:sz="4" w:space="0"/>
            </w:tcBorders>
            <w:shd w:val="clear" w:color="auto" w:fill="auto"/>
            <w:noWrap/>
            <w:vAlign w:val="center"/>
          </w:tcPr>
          <w:p w14:paraId="3A1104A3">
            <w:pPr>
              <w:jc w:val="center"/>
              <w:textAlignment w:val="center"/>
              <w:rPr>
                <w:color w:val="000000"/>
                <w:sz w:val="20"/>
                <w:szCs w:val="20"/>
              </w:rPr>
            </w:pPr>
            <w:r>
              <w:rPr>
                <w:rFonts w:eastAsia="SimSun"/>
                <w:color w:val="000000"/>
                <w:sz w:val="20"/>
                <w:szCs w:val="20"/>
                <w:lang w:val="en-US" w:eastAsia="zh-CN" w:bidi="ar"/>
              </w:rPr>
              <w:t>201,13%</w:t>
            </w:r>
          </w:p>
        </w:tc>
      </w:tr>
      <w:tr w14:paraId="6615CE5C">
        <w:tblPrEx>
          <w:tblCellMar>
            <w:top w:w="0" w:type="dxa"/>
            <w:left w:w="108" w:type="dxa"/>
            <w:bottom w:w="0" w:type="dxa"/>
            <w:right w:w="108"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6E49F313">
            <w:pPr>
              <w:jc w:val="center"/>
              <w:textAlignment w:val="bottom"/>
              <w:rPr>
                <w:color w:val="000000"/>
                <w:sz w:val="20"/>
                <w:szCs w:val="20"/>
              </w:rPr>
            </w:pPr>
            <w:r>
              <w:rPr>
                <w:rFonts w:eastAsia="SimSun"/>
                <w:color w:val="000000"/>
                <w:sz w:val="20"/>
                <w:szCs w:val="20"/>
                <w:lang w:val="en-US" w:eastAsia="zh-CN" w:bidi="ar"/>
              </w:rPr>
              <w:t>18</w:t>
            </w:r>
          </w:p>
        </w:tc>
        <w:tc>
          <w:tcPr>
            <w:tcW w:w="2644" w:type="dxa"/>
            <w:tcBorders>
              <w:top w:val="nil"/>
              <w:left w:val="nil"/>
              <w:bottom w:val="single" w:color="auto" w:sz="4" w:space="0"/>
              <w:right w:val="single" w:color="auto" w:sz="4" w:space="0"/>
            </w:tcBorders>
            <w:shd w:val="clear" w:color="auto" w:fill="auto"/>
            <w:vAlign w:val="center"/>
          </w:tcPr>
          <w:p w14:paraId="18F10A30">
            <w:pPr>
              <w:jc w:val="center"/>
              <w:textAlignment w:val="center"/>
              <w:rPr>
                <w:color w:val="000000"/>
                <w:sz w:val="20"/>
                <w:szCs w:val="20"/>
              </w:rPr>
            </w:pPr>
            <w:r>
              <w:rPr>
                <w:rFonts w:eastAsia="SimSun"/>
                <w:color w:val="000000"/>
                <w:sz w:val="20"/>
                <w:szCs w:val="20"/>
                <w:lang w:eastAsia="zh-CN" w:bidi="ar"/>
              </w:rPr>
              <w:t>Непрограммное направление деятельности реализация функций органов местного самоуправления администрации МО «Ахтубинский район»</w:t>
            </w:r>
          </w:p>
        </w:tc>
        <w:tc>
          <w:tcPr>
            <w:tcW w:w="1276" w:type="dxa"/>
            <w:tcBorders>
              <w:top w:val="nil"/>
              <w:left w:val="nil"/>
              <w:bottom w:val="single" w:color="auto" w:sz="4" w:space="0"/>
              <w:right w:val="single" w:color="auto" w:sz="4" w:space="0"/>
            </w:tcBorders>
            <w:shd w:val="clear" w:color="auto" w:fill="auto"/>
            <w:vAlign w:val="center"/>
          </w:tcPr>
          <w:p w14:paraId="2676D755">
            <w:pPr>
              <w:jc w:val="center"/>
              <w:textAlignment w:val="center"/>
              <w:rPr>
                <w:color w:val="000000"/>
                <w:sz w:val="20"/>
                <w:szCs w:val="20"/>
              </w:rPr>
            </w:pPr>
            <w:r>
              <w:rPr>
                <w:rFonts w:eastAsia="SimSun"/>
                <w:color w:val="000000"/>
                <w:sz w:val="20"/>
                <w:szCs w:val="20"/>
                <w:lang w:eastAsia="zh-CN" w:bidi="ar"/>
              </w:rPr>
              <w:t xml:space="preserve"> </w:t>
            </w:r>
            <w:r>
              <w:rPr>
                <w:rFonts w:eastAsia="SimSun"/>
                <w:color w:val="000000"/>
                <w:sz w:val="20"/>
                <w:szCs w:val="20"/>
                <w:lang w:val="en-US" w:eastAsia="zh-CN" w:bidi="ar"/>
              </w:rPr>
              <w:t>663,24</w:t>
            </w:r>
          </w:p>
        </w:tc>
        <w:tc>
          <w:tcPr>
            <w:tcW w:w="1417" w:type="dxa"/>
            <w:tcBorders>
              <w:top w:val="nil"/>
              <w:left w:val="nil"/>
              <w:bottom w:val="single" w:color="auto" w:sz="4" w:space="0"/>
              <w:right w:val="single" w:color="auto" w:sz="4" w:space="0"/>
            </w:tcBorders>
            <w:shd w:val="clear" w:color="auto" w:fill="auto"/>
            <w:vAlign w:val="center"/>
          </w:tcPr>
          <w:p w14:paraId="2984ACA5">
            <w:pPr>
              <w:jc w:val="center"/>
              <w:textAlignment w:val="center"/>
              <w:rPr>
                <w:color w:val="000000"/>
                <w:sz w:val="20"/>
                <w:szCs w:val="20"/>
              </w:rPr>
            </w:pPr>
            <w:r>
              <w:rPr>
                <w:rFonts w:eastAsia="SimSun"/>
                <w:color w:val="000000"/>
                <w:sz w:val="20"/>
                <w:szCs w:val="20"/>
                <w:lang w:val="en-US" w:eastAsia="zh-CN" w:bidi="ar"/>
              </w:rPr>
              <w:t>3 400,33</w:t>
            </w:r>
          </w:p>
        </w:tc>
        <w:tc>
          <w:tcPr>
            <w:tcW w:w="1276" w:type="dxa"/>
            <w:tcBorders>
              <w:top w:val="nil"/>
              <w:left w:val="nil"/>
              <w:bottom w:val="single" w:color="auto" w:sz="4" w:space="0"/>
              <w:right w:val="single" w:color="auto" w:sz="4" w:space="0"/>
            </w:tcBorders>
            <w:shd w:val="clear" w:color="auto" w:fill="auto"/>
            <w:vAlign w:val="center"/>
          </w:tcPr>
          <w:p w14:paraId="22D60291">
            <w:pPr>
              <w:jc w:val="center"/>
              <w:textAlignment w:val="center"/>
              <w:rPr>
                <w:color w:val="000000"/>
                <w:sz w:val="20"/>
                <w:szCs w:val="20"/>
              </w:rPr>
            </w:pPr>
            <w:r>
              <w:rPr>
                <w:rFonts w:eastAsia="SimSun"/>
                <w:color w:val="000000"/>
                <w:sz w:val="20"/>
                <w:szCs w:val="20"/>
                <w:lang w:val="en-US" w:eastAsia="zh-CN" w:bidi="ar"/>
              </w:rPr>
              <w:t xml:space="preserve">1351,37 </w:t>
            </w:r>
          </w:p>
        </w:tc>
        <w:tc>
          <w:tcPr>
            <w:tcW w:w="1276" w:type="dxa"/>
            <w:tcBorders>
              <w:top w:val="nil"/>
              <w:left w:val="nil"/>
              <w:bottom w:val="single" w:color="auto" w:sz="4" w:space="0"/>
              <w:right w:val="single" w:color="auto" w:sz="4" w:space="0"/>
            </w:tcBorders>
            <w:shd w:val="clear" w:color="auto" w:fill="auto"/>
            <w:noWrap/>
            <w:vAlign w:val="center"/>
          </w:tcPr>
          <w:p w14:paraId="03864031">
            <w:pPr>
              <w:jc w:val="center"/>
              <w:textAlignment w:val="center"/>
              <w:rPr>
                <w:color w:val="000000"/>
                <w:sz w:val="20"/>
                <w:szCs w:val="20"/>
              </w:rPr>
            </w:pPr>
            <w:r>
              <w:rPr>
                <w:rFonts w:eastAsia="SimSun"/>
                <w:color w:val="000000"/>
                <w:sz w:val="20"/>
                <w:szCs w:val="20"/>
                <w:lang w:val="en-US" w:eastAsia="zh-CN" w:bidi="ar"/>
              </w:rPr>
              <w:t>39,74%</w:t>
            </w:r>
          </w:p>
        </w:tc>
        <w:tc>
          <w:tcPr>
            <w:tcW w:w="1041" w:type="dxa"/>
            <w:tcBorders>
              <w:top w:val="nil"/>
              <w:left w:val="nil"/>
              <w:bottom w:val="single" w:color="auto" w:sz="4" w:space="0"/>
              <w:right w:val="single" w:color="auto" w:sz="4" w:space="0"/>
            </w:tcBorders>
            <w:shd w:val="clear" w:color="auto" w:fill="auto"/>
            <w:noWrap/>
            <w:vAlign w:val="center"/>
          </w:tcPr>
          <w:p w14:paraId="1801DD86">
            <w:pPr>
              <w:jc w:val="center"/>
              <w:textAlignment w:val="center"/>
              <w:rPr>
                <w:color w:val="000000"/>
                <w:sz w:val="20"/>
                <w:szCs w:val="20"/>
              </w:rPr>
            </w:pPr>
            <w:r>
              <w:rPr>
                <w:rFonts w:eastAsia="SimSun"/>
                <w:color w:val="000000"/>
                <w:sz w:val="20"/>
                <w:szCs w:val="20"/>
                <w:lang w:val="en-US" w:eastAsia="zh-CN" w:bidi="ar"/>
              </w:rPr>
              <w:t>203,75%</w:t>
            </w:r>
          </w:p>
        </w:tc>
      </w:tr>
      <w:tr w14:paraId="3A2CF6D8">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noWrap/>
            <w:vAlign w:val="bottom"/>
          </w:tcPr>
          <w:p w14:paraId="0A1377DE">
            <w:pPr>
              <w:jc w:val="center"/>
              <w:rPr>
                <w:color w:val="000000"/>
                <w:sz w:val="20"/>
                <w:szCs w:val="20"/>
              </w:rPr>
            </w:pPr>
          </w:p>
        </w:tc>
        <w:tc>
          <w:tcPr>
            <w:tcW w:w="2644" w:type="dxa"/>
            <w:tcBorders>
              <w:top w:val="nil"/>
              <w:left w:val="nil"/>
              <w:bottom w:val="single" w:color="auto" w:sz="4" w:space="0"/>
              <w:right w:val="single" w:color="auto" w:sz="4" w:space="0"/>
            </w:tcBorders>
            <w:shd w:val="clear" w:color="auto" w:fill="auto"/>
            <w:vAlign w:val="center"/>
          </w:tcPr>
          <w:p w14:paraId="6C0FA694">
            <w:pPr>
              <w:jc w:val="center"/>
              <w:textAlignment w:val="center"/>
              <w:rPr>
                <w:color w:val="000000"/>
                <w:sz w:val="20"/>
                <w:szCs w:val="20"/>
              </w:rPr>
            </w:pPr>
            <w:r>
              <w:rPr>
                <w:rFonts w:eastAsia="SimSun"/>
                <w:color w:val="000000"/>
                <w:sz w:val="20"/>
                <w:szCs w:val="20"/>
                <w:lang w:val="en-US" w:eastAsia="zh-CN" w:bidi="ar"/>
              </w:rPr>
              <w:t>ИТОГО:</w:t>
            </w:r>
          </w:p>
        </w:tc>
        <w:tc>
          <w:tcPr>
            <w:tcW w:w="1276" w:type="dxa"/>
            <w:tcBorders>
              <w:top w:val="nil"/>
              <w:left w:val="nil"/>
              <w:bottom w:val="single" w:color="auto" w:sz="4" w:space="0"/>
              <w:right w:val="single" w:color="auto" w:sz="4" w:space="0"/>
            </w:tcBorders>
            <w:shd w:val="clear" w:color="auto" w:fill="auto"/>
            <w:vAlign w:val="center"/>
          </w:tcPr>
          <w:p w14:paraId="15871E61">
            <w:pPr>
              <w:jc w:val="center"/>
              <w:textAlignment w:val="center"/>
              <w:rPr>
                <w:b/>
                <w:bCs/>
                <w:color w:val="000000"/>
                <w:sz w:val="20"/>
                <w:szCs w:val="20"/>
              </w:rPr>
            </w:pPr>
            <w:r>
              <w:rPr>
                <w:rFonts w:eastAsia="SimSun"/>
                <w:color w:val="000000"/>
                <w:sz w:val="20"/>
                <w:szCs w:val="20"/>
                <w:lang w:val="en-US" w:eastAsia="zh-CN" w:bidi="ar"/>
              </w:rPr>
              <w:t>796 441,45</w:t>
            </w:r>
          </w:p>
        </w:tc>
        <w:tc>
          <w:tcPr>
            <w:tcW w:w="1417" w:type="dxa"/>
            <w:tcBorders>
              <w:top w:val="nil"/>
              <w:left w:val="nil"/>
              <w:bottom w:val="single" w:color="auto" w:sz="4" w:space="0"/>
              <w:right w:val="single" w:color="auto" w:sz="4" w:space="0"/>
            </w:tcBorders>
            <w:shd w:val="clear" w:color="auto" w:fill="auto"/>
            <w:vAlign w:val="center"/>
          </w:tcPr>
          <w:p w14:paraId="37C98945">
            <w:pPr>
              <w:jc w:val="center"/>
              <w:textAlignment w:val="center"/>
              <w:rPr>
                <w:b/>
                <w:bCs/>
                <w:color w:val="000000"/>
                <w:sz w:val="20"/>
                <w:szCs w:val="20"/>
              </w:rPr>
            </w:pPr>
            <w:r>
              <w:rPr>
                <w:rFonts w:eastAsia="SimSun"/>
                <w:color w:val="000000"/>
                <w:sz w:val="20"/>
                <w:szCs w:val="20"/>
                <w:lang w:val="en-US" w:eastAsia="zh-CN" w:bidi="ar"/>
              </w:rPr>
              <w:t>2271 794,48</w:t>
            </w:r>
          </w:p>
        </w:tc>
        <w:tc>
          <w:tcPr>
            <w:tcW w:w="1276" w:type="dxa"/>
            <w:tcBorders>
              <w:top w:val="nil"/>
              <w:left w:val="nil"/>
              <w:bottom w:val="single" w:color="auto" w:sz="4" w:space="0"/>
              <w:right w:val="single" w:color="auto" w:sz="4" w:space="0"/>
            </w:tcBorders>
            <w:shd w:val="clear" w:color="auto" w:fill="auto"/>
            <w:vAlign w:val="center"/>
          </w:tcPr>
          <w:p w14:paraId="25C2D923">
            <w:pPr>
              <w:jc w:val="center"/>
              <w:textAlignment w:val="center"/>
              <w:rPr>
                <w:b/>
                <w:bCs/>
                <w:color w:val="000000"/>
                <w:sz w:val="20"/>
                <w:szCs w:val="20"/>
              </w:rPr>
            </w:pPr>
            <w:r>
              <w:rPr>
                <w:rFonts w:eastAsia="SimSun"/>
                <w:color w:val="000000"/>
                <w:sz w:val="20"/>
                <w:szCs w:val="20"/>
                <w:lang w:val="en-US" w:eastAsia="zh-CN" w:bidi="ar"/>
              </w:rPr>
              <w:t xml:space="preserve">1021982,56 </w:t>
            </w:r>
          </w:p>
        </w:tc>
        <w:tc>
          <w:tcPr>
            <w:tcW w:w="1276" w:type="dxa"/>
            <w:tcBorders>
              <w:top w:val="nil"/>
              <w:left w:val="nil"/>
              <w:bottom w:val="single" w:color="auto" w:sz="4" w:space="0"/>
              <w:right w:val="single" w:color="auto" w:sz="4" w:space="0"/>
            </w:tcBorders>
            <w:shd w:val="clear" w:color="auto" w:fill="auto"/>
            <w:noWrap/>
            <w:vAlign w:val="center"/>
          </w:tcPr>
          <w:p w14:paraId="00A466A5">
            <w:pPr>
              <w:jc w:val="center"/>
              <w:textAlignment w:val="center"/>
              <w:rPr>
                <w:b/>
                <w:bCs/>
                <w:color w:val="000000"/>
                <w:sz w:val="20"/>
                <w:szCs w:val="20"/>
              </w:rPr>
            </w:pPr>
            <w:r>
              <w:rPr>
                <w:rFonts w:eastAsia="SimSun"/>
                <w:color w:val="000000"/>
                <w:sz w:val="20"/>
                <w:szCs w:val="20"/>
                <w:lang w:val="en-US" w:eastAsia="zh-CN" w:bidi="ar"/>
              </w:rPr>
              <w:t>44,99%</w:t>
            </w:r>
          </w:p>
        </w:tc>
        <w:tc>
          <w:tcPr>
            <w:tcW w:w="1041" w:type="dxa"/>
            <w:tcBorders>
              <w:top w:val="nil"/>
              <w:left w:val="nil"/>
              <w:bottom w:val="single" w:color="auto" w:sz="4" w:space="0"/>
              <w:right w:val="single" w:color="auto" w:sz="4" w:space="0"/>
            </w:tcBorders>
            <w:shd w:val="clear" w:color="auto" w:fill="auto"/>
            <w:noWrap/>
            <w:vAlign w:val="center"/>
          </w:tcPr>
          <w:p w14:paraId="5CD44B7F">
            <w:pPr>
              <w:jc w:val="center"/>
              <w:textAlignment w:val="center"/>
              <w:rPr>
                <w:b/>
                <w:bCs/>
                <w:color w:val="000000"/>
                <w:sz w:val="20"/>
                <w:szCs w:val="20"/>
              </w:rPr>
            </w:pPr>
            <w:r>
              <w:rPr>
                <w:rFonts w:eastAsia="SimSun"/>
                <w:color w:val="000000"/>
                <w:sz w:val="20"/>
                <w:szCs w:val="20"/>
                <w:lang w:val="en-US" w:eastAsia="zh-CN" w:bidi="ar"/>
              </w:rPr>
              <w:t>128,32%</w:t>
            </w:r>
          </w:p>
        </w:tc>
      </w:tr>
    </w:tbl>
    <w:p w14:paraId="43B40C1E">
      <w:pPr>
        <w:ind w:firstLine="480" w:firstLineChars="200"/>
        <w:jc w:val="both"/>
      </w:pPr>
      <w:r>
        <w:t>В соответствии с п.8.2. «Порядка разработки, утверждения, реализации и оценки эффективности муниципальных программ» утверждённого постановлением администрации МО «Ахтубинский район» от 29.07.2014 №1139 (далее - Порядок от 29.07.2014 №1139), отчёт о ходе реализации муниципальной программ координатор программы представляет в управление экономического развития ежеквартально, до 20-го числа месяца, следующего за отчётным кварталом отчётного года.</w:t>
      </w:r>
    </w:p>
    <w:p w14:paraId="7019DA30">
      <w:pPr>
        <w:jc w:val="both"/>
        <w:rPr>
          <w:sz w:val="12"/>
          <w:szCs w:val="12"/>
        </w:rPr>
      </w:pPr>
    </w:p>
    <w:p w14:paraId="052F1342">
      <w:pPr>
        <w:ind w:firstLine="480" w:firstLineChars="200"/>
        <w:jc w:val="both"/>
        <w:rPr>
          <w:i/>
          <w:iCs/>
          <w:highlight w:val="none"/>
        </w:rPr>
      </w:pPr>
      <w:r>
        <w:rPr>
          <w:i/>
          <w:iCs/>
          <w:highlight w:val="none"/>
        </w:rPr>
        <w:t xml:space="preserve">В нарушение п.8.2. Порядка от 29.07.2014 №1139 в управление экономического развития не представлен отчёт о ходе реализации муниципальной программы </w:t>
      </w:r>
      <w:r>
        <w:rPr>
          <w:rFonts w:hint="default"/>
          <w:i/>
          <w:iCs/>
          <w:highlight w:val="none"/>
        </w:rPr>
        <w:t>МП «Совершенствование системы управления муниципальной собственностью МО «Ахтубинский район»</w:t>
      </w:r>
      <w:r>
        <w:rPr>
          <w:rFonts w:hint="default"/>
          <w:i/>
          <w:iCs/>
          <w:highlight w:val="none"/>
          <w:lang w:val="ru-RU"/>
        </w:rPr>
        <w:t xml:space="preserve"> </w:t>
      </w:r>
      <w:r>
        <w:rPr>
          <w:i/>
          <w:iCs/>
          <w:highlight w:val="none"/>
        </w:rPr>
        <w:t>Управлением имущественных и земельных отношений администрации муниципального образования «Ахтубинский муниципальный район Астраханской области».</w:t>
      </w:r>
    </w:p>
    <w:p w14:paraId="49A70510">
      <w:pPr>
        <w:jc w:val="both"/>
        <w:rPr>
          <w:i/>
          <w:iCs/>
          <w:sz w:val="12"/>
          <w:szCs w:val="12"/>
        </w:rPr>
      </w:pPr>
    </w:p>
    <w:p w14:paraId="65EB7B58">
      <w:pPr>
        <w:jc w:val="both"/>
      </w:pPr>
      <w:r>
        <w:rPr>
          <w:b/>
          <w:color w:val="000000"/>
        </w:rPr>
        <w:t xml:space="preserve">Исполнение финансовых обязательств по </w:t>
      </w:r>
      <w:r>
        <w:rPr>
          <w:b/>
        </w:rPr>
        <w:t>муниципальным программам (далее МП)</w:t>
      </w:r>
      <w:r>
        <w:t>:</w:t>
      </w:r>
    </w:p>
    <w:p w14:paraId="33C89DFE">
      <w:pPr>
        <w:pStyle w:val="10"/>
        <w:numPr>
          <w:ilvl w:val="0"/>
          <w:numId w:val="2"/>
        </w:numPr>
        <w:ind w:left="0" w:firstLine="426"/>
        <w:jc w:val="both"/>
      </w:pPr>
      <w:r>
        <w:t>МП «Развитие системы образования в МО «Ахтубинский район» исполнена на 51,9</w:t>
      </w:r>
      <w:r>
        <w:rPr>
          <w:b/>
        </w:rPr>
        <w:t>%</w:t>
      </w:r>
      <w:r>
        <w:t xml:space="preserve"> или </w:t>
      </w:r>
      <w:r>
        <w:rPr>
          <w:b/>
          <w:bCs/>
        </w:rPr>
        <w:t>596770,36</w:t>
      </w:r>
      <w:r>
        <w:t xml:space="preserve"> тыс. руб., произведено финансирование дошкольных и общеобразовательных учреждений, учреждений дополнительного образования и учреждений подведомственных управлению образованием МО «Ахтубинский муниципальный район Астраханской области»;</w:t>
      </w:r>
    </w:p>
    <w:p w14:paraId="41974BFB">
      <w:pPr>
        <w:pStyle w:val="10"/>
        <w:numPr>
          <w:ilvl w:val="0"/>
          <w:numId w:val="2"/>
        </w:numPr>
        <w:ind w:left="0" w:firstLine="426"/>
        <w:jc w:val="both"/>
      </w:pPr>
      <w:r>
        <w:t xml:space="preserve">МП «Обеспечение общественного порядка и противодействие преступности в Ахтубинском районе» исполнено на </w:t>
      </w:r>
      <w:r>
        <w:rPr>
          <w:b/>
        </w:rPr>
        <w:t>15,1%</w:t>
      </w:r>
      <w:r>
        <w:t xml:space="preserve"> (2455,81 тыс. руб.) произведены расходы на проведение различных мероприятий (56,2 тыс. руб.), на техническое обслуживание тревожной сигнализации (212,76 тыс. руб.), на оснащение средствами технической защиты образовательных учреждений (618,5 тыс. руб.), на оплату услуг ЧОП (794,2 тыс. руб.), на ремонт системы наружного освещения (348,2 тыс. руб.), дооснащение системы видеонаблюдения (407,2 тыс. руб.) и другие мероприятия;</w:t>
      </w:r>
    </w:p>
    <w:p w14:paraId="5D5327E9">
      <w:pPr>
        <w:pStyle w:val="10"/>
        <w:numPr>
          <w:ilvl w:val="0"/>
          <w:numId w:val="2"/>
        </w:numPr>
        <w:ind w:left="0" w:firstLine="426"/>
        <w:jc w:val="both"/>
      </w:pPr>
      <w:r>
        <w:t xml:space="preserve">МП «Развитие культуры и сохранение культурного наследия Ахтубинского района» исполнение </w:t>
      </w:r>
      <w:r>
        <w:rPr>
          <w:b/>
        </w:rPr>
        <w:t>46,3 %</w:t>
      </w:r>
      <w:r>
        <w:t xml:space="preserve"> (65919,31 тыс. руб.), произведено финансирование деятельности организаций клубных формирований (13239,6 тыс. руб.), библиотек (5427,1 тыс. руб.), дополнительного образования (33706,4 тыс. руб.), выставочной деятельности (1236,2 тыс. руб.), кинообслуживания (1844,7 тыс. руб.), формирование бухгалтерской отчётности (1975,41 тыс. руб.), содержание и техническая эксплуатация имущества (6709,94 тыс. руб.),государственная поддержка лучших работников (58,7 тыс. руб.), обеспечение аппарата управления культуры (1721,2 тыс. руб.).</w:t>
      </w:r>
    </w:p>
    <w:p w14:paraId="546648E1">
      <w:pPr>
        <w:pStyle w:val="10"/>
        <w:numPr>
          <w:ilvl w:val="0"/>
          <w:numId w:val="2"/>
        </w:numPr>
        <w:ind w:left="0" w:firstLine="426"/>
        <w:jc w:val="both"/>
      </w:pPr>
      <w:r>
        <w:t xml:space="preserve">МП «Охрана окружающей среды в МО «Ахтубинский район» исполнена на </w:t>
      </w:r>
      <w:r>
        <w:rPr>
          <w:b/>
        </w:rPr>
        <w:t>40,2%</w:t>
      </w:r>
      <w:r>
        <w:t xml:space="preserve"> (451,04 тыс. руб.), произведена оплата 2-х контрактов по сбору и транспортировке отходов с мест несанкционированного размещения отходов на территории с. Капустин Яр;</w:t>
      </w:r>
    </w:p>
    <w:p w14:paraId="75E33F57">
      <w:pPr>
        <w:pStyle w:val="10"/>
        <w:numPr>
          <w:ilvl w:val="0"/>
          <w:numId w:val="2"/>
        </w:numPr>
        <w:ind w:left="0" w:firstLine="426"/>
        <w:jc w:val="both"/>
      </w:pPr>
      <w:r>
        <w:t xml:space="preserve">МП </w:t>
      </w:r>
      <w:r>
        <w:rPr>
          <w:lang w:eastAsia="zh-CN"/>
        </w:rPr>
        <w:t>«Развитие физической культуры и спорта в Ахтубинском районе»</w:t>
      </w:r>
      <w:r>
        <w:t xml:space="preserve"> исполнена на </w:t>
      </w:r>
      <w:r>
        <w:rPr>
          <w:b/>
        </w:rPr>
        <w:t>0,00 %</w:t>
      </w:r>
      <w:r>
        <w:t xml:space="preserve"> (0,00 тыс. руб.), финансирование не осуществлялось.</w:t>
      </w:r>
    </w:p>
    <w:p w14:paraId="6C0C294E">
      <w:pPr>
        <w:pStyle w:val="10"/>
        <w:numPr>
          <w:ilvl w:val="0"/>
          <w:numId w:val="2"/>
        </w:numPr>
        <w:ind w:left="0" w:firstLine="426"/>
        <w:jc w:val="both"/>
      </w:pPr>
      <w:r>
        <w:t xml:space="preserve">МП «Молодёжь Ахтубинского района» исполнена на </w:t>
      </w:r>
      <w:r>
        <w:rPr>
          <w:b/>
        </w:rPr>
        <w:t>23,5%</w:t>
      </w:r>
      <w:r>
        <w:t xml:space="preserve"> (3327,69 тыс. руб.), произведено финансирование функционирования МКУ «Центр социальной поддержки семьи и молодёжи»;</w:t>
      </w:r>
    </w:p>
    <w:p w14:paraId="7DF6AEEB">
      <w:pPr>
        <w:pStyle w:val="10"/>
        <w:numPr>
          <w:ilvl w:val="0"/>
          <w:numId w:val="2"/>
        </w:numPr>
        <w:ind w:left="0" w:firstLine="426"/>
        <w:jc w:val="both"/>
      </w:pPr>
      <w:r>
        <w:t xml:space="preserve">МП «Развитие агропромышленного комплекса Ахтубинского района» МП «Развитие агропромышленного комплекса Ахтубинского района» исполнена на </w:t>
      </w:r>
      <w:r>
        <w:rPr>
          <w:b/>
        </w:rPr>
        <w:t>81,0%</w:t>
      </w:r>
      <w:r>
        <w:t xml:space="preserve"> (47052,97 тыс. руб.), обеспечено содержание аппарата управления сельского хозяйства (2184,8 тыс. руб.) и выплаты субсидий в рамках подпрограммы «Оказание государственной поддержки по развитию сельскохозяйственного производства в Ахтубинском районе» (44868,17 тыс. руб.);</w:t>
      </w:r>
    </w:p>
    <w:p w14:paraId="04554F2C">
      <w:pPr>
        <w:pStyle w:val="10"/>
        <w:numPr>
          <w:ilvl w:val="0"/>
          <w:numId w:val="2"/>
        </w:numPr>
        <w:ind w:left="0" w:firstLine="426"/>
        <w:jc w:val="both"/>
      </w:pPr>
      <w:r>
        <w:t xml:space="preserve">МП «Строительство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 исполнена на </w:t>
      </w:r>
      <w:r>
        <w:rPr>
          <w:b/>
        </w:rPr>
        <w:t>81,98%</w:t>
      </w:r>
      <w:r>
        <w:t xml:space="preserve"> (140718,56 тыс. руб.), произведено финансирование ремонтно-восстановительных работ (4063,3 тыс. руб.), закупка химических реагентов (2222,8 тыс. руб.), регулирование численности безнадзорных животных, отловлено 309 особи (1932,1 тыс. руб.), подпрограммы «Повышение энергетической эффективности на территории городских поселений Ахтубинского района» закупка мазута (132500,3 тыс. руб.);</w:t>
      </w:r>
    </w:p>
    <w:p w14:paraId="338FEB8D">
      <w:pPr>
        <w:pStyle w:val="10"/>
        <w:numPr>
          <w:ilvl w:val="0"/>
          <w:numId w:val="2"/>
        </w:numPr>
        <w:ind w:left="0" w:firstLine="426"/>
        <w:jc w:val="both"/>
      </w:pPr>
      <w:r>
        <w:t xml:space="preserve">МП «Стимулирование развития жилищного строительства» исполнена на </w:t>
      </w:r>
      <w:r>
        <w:rPr>
          <w:b/>
        </w:rPr>
        <w:t>11,0%</w:t>
      </w:r>
      <w:r>
        <w:t xml:space="preserve"> (43451,79 тыс. руб.), оплачены расходы на утверждение генеральных планов и правил землепользования (60 тыс. руб.), на установление границ территориальных зон (24,7 тыс. руб.), на реализацию мероприятий по переселению граждан из аварийного жилья (43367,1 тыс. руб.);</w:t>
      </w:r>
    </w:p>
    <w:p w14:paraId="63256513">
      <w:pPr>
        <w:pStyle w:val="10"/>
        <w:numPr>
          <w:ilvl w:val="0"/>
          <w:numId w:val="2"/>
        </w:numPr>
        <w:ind w:left="0" w:firstLine="426"/>
        <w:jc w:val="both"/>
      </w:pPr>
      <w:r>
        <w:t xml:space="preserve">МП «Комплексное развитие дорожной инфраструктуры Ахтубинского района» исполнена на </w:t>
      </w:r>
      <w:r>
        <w:rPr>
          <w:b/>
        </w:rPr>
        <w:t>19,7%</w:t>
      </w:r>
      <w:r>
        <w:t xml:space="preserve"> (18514,06 тыс. руб.), оплачены контракты на содержание автомобильных дорог в сельских поселениях (откачка талой воды (165,0 тыс. руб.), очистка снега (183,0 тыс. руб.), изготовление дорожных знаков (10,3 тыс. руб.), грейдирование дорог в с. Садовое (25,00 тыс. руб.), разработка локальных смет (51,0 тыс. руб.), строительный контроль (213,8 тыс. руб.), ремонт автомобильных дорог (4669,2 тыс. руб.), средства субсидии переданы бюджетам городских поселений (г. Ахтубинск, В. Баскунчак, Н. Баскунчак (13196,9 тыс. руб.));</w:t>
      </w:r>
    </w:p>
    <w:p w14:paraId="75F38B05">
      <w:pPr>
        <w:pStyle w:val="10"/>
        <w:numPr>
          <w:ilvl w:val="0"/>
          <w:numId w:val="2"/>
        </w:numPr>
        <w:ind w:left="0" w:firstLine="426"/>
        <w:jc w:val="both"/>
      </w:pPr>
      <w:r>
        <w:t xml:space="preserve">МП «Создание условий для функционирования органов местного самоуправления муниципального образования «Ахтубинский район» исполнена на </w:t>
      </w:r>
      <w:r>
        <w:rPr>
          <w:b/>
        </w:rPr>
        <w:t>51,4%</w:t>
      </w:r>
      <w:r>
        <w:t xml:space="preserve"> (19353,95 тыс. руб.), произведено финансирование аварийно - диспетчерской службы (1887,71 тыс. руб.), функционирование МКУ «УХТО МО «Ахтубинский район» (10801,76 тыс. руб.), создание условий для обслуживания газовых котельных и поставки газа (6664,48 тыс. руб.);</w:t>
      </w:r>
    </w:p>
    <w:p w14:paraId="4CB9AF40">
      <w:pPr>
        <w:pStyle w:val="10"/>
        <w:numPr>
          <w:ilvl w:val="0"/>
          <w:numId w:val="2"/>
        </w:numPr>
        <w:ind w:left="0" w:firstLine="426"/>
        <w:jc w:val="both"/>
      </w:pPr>
      <w:r>
        <w:t xml:space="preserve">МП «Повышение эффективности управления муниципальными финансами» исполнена на </w:t>
      </w:r>
      <w:r>
        <w:rPr>
          <w:b/>
        </w:rPr>
        <w:t>48,3%</w:t>
      </w:r>
      <w:r>
        <w:t xml:space="preserve"> (45124,53 тыс. руб.), предоставлены дотации на выравнивание бюджетной обеспеченности поселений за счёт средств бюджета Астраханской области (37760,4 тыс. руб.), дотации на выравнивание бюджетной обеспеченности поселений из бюджета Ахтубинского района (2078,4 тыс. руб.), формирование бюджетной отчётности поселений (218,7 тыс. руб.), содержание финансового управления (4191,8 тыс. руб.), предоставление иных межбюджетных трансфертов из бюджета Ахтубинского района на софинансирование расходных обязательств (875,2 тыс. руб.);</w:t>
      </w:r>
    </w:p>
    <w:p w14:paraId="2537D9E8">
      <w:pPr>
        <w:pStyle w:val="10"/>
        <w:numPr>
          <w:ilvl w:val="0"/>
          <w:numId w:val="2"/>
        </w:numPr>
        <w:ind w:left="0" w:firstLine="426"/>
        <w:jc w:val="both"/>
      </w:pPr>
      <w:r>
        <w:t xml:space="preserve">МП «Развитие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 исполнена на </w:t>
      </w:r>
      <w:r>
        <w:rPr>
          <w:b/>
        </w:rPr>
        <w:t>72,9%</w:t>
      </w:r>
      <w:r>
        <w:t xml:space="preserve"> (809,44 тыс. руб.), произведена оплата публикаций материалов о деятельности администрации;</w:t>
      </w:r>
    </w:p>
    <w:p w14:paraId="31557429">
      <w:pPr>
        <w:pStyle w:val="10"/>
        <w:numPr>
          <w:ilvl w:val="0"/>
          <w:numId w:val="2"/>
        </w:numPr>
        <w:ind w:left="0" w:firstLine="426"/>
        <w:jc w:val="both"/>
      </w:pPr>
      <w:r>
        <w:t xml:space="preserve">МП «Реализация функций органов местного самоуправления муниципального образования «Ахтубинский район» исполнена на </w:t>
      </w:r>
      <w:r>
        <w:rPr>
          <w:b/>
        </w:rPr>
        <w:t>41,9%</w:t>
      </w:r>
      <w:r>
        <w:t xml:space="preserve"> (21556,64 тыс. руб.), произведено финансирование деятельности административной комиссии (232,37 тыс. руб.), деятельности комиссии по делам несовершеннолетних и защите их прав (699,06 тыс. руб.), доплаты к пенсии 118 человек (4079,93 тыс. руб.), деятельности администрации МО «Ахтубинский район» и заключённых контрактов (16475,28 тыс. руб.), подпрограммы</w:t>
      </w:r>
      <w:r>
        <w:rPr>
          <w:color w:val="000000" w:themeColor="text1"/>
          <w14:textFill>
            <w14:solidFill>
              <w14:schemeClr w14:val="tx1"/>
            </w14:solidFill>
          </w14:textFill>
        </w:rPr>
        <w:t xml:space="preserve"> «Празднование Дня района» (70 </w:t>
      </w:r>
      <w:r>
        <w:t>тыс. руб.);</w:t>
      </w:r>
    </w:p>
    <w:p w14:paraId="33D77328">
      <w:pPr>
        <w:pStyle w:val="10"/>
        <w:numPr>
          <w:ilvl w:val="0"/>
          <w:numId w:val="2"/>
        </w:numPr>
        <w:ind w:left="0" w:firstLine="426"/>
        <w:jc w:val="both"/>
      </w:pPr>
      <w:r>
        <w:t xml:space="preserve">МП </w:t>
      </w:r>
      <w:r>
        <w:rPr>
          <w:lang w:eastAsia="zh-CN"/>
        </w:rPr>
        <w:t xml:space="preserve">«Обеспечение безопасности жизнедеятельности населения Ахтубинского района» исполнена на </w:t>
      </w:r>
      <w:r>
        <w:rPr>
          <w:b/>
          <w:lang w:eastAsia="zh-CN"/>
        </w:rPr>
        <w:t>16,5%</w:t>
      </w:r>
      <w:r>
        <w:rPr>
          <w:lang w:eastAsia="zh-CN"/>
        </w:rPr>
        <w:t xml:space="preserve"> (184,61 </w:t>
      </w:r>
      <w:r>
        <w:t>тыс. руб.), произведены расходы на опашку территорий (28,2 тыс. руб.), закупку материальных запасов (147,5тыс. руб.), изготовление знаков (8,9 тыс. руб.);</w:t>
      </w:r>
    </w:p>
    <w:p w14:paraId="5F0A1CD7">
      <w:pPr>
        <w:pStyle w:val="10"/>
        <w:numPr>
          <w:ilvl w:val="0"/>
          <w:numId w:val="2"/>
        </w:numPr>
        <w:ind w:left="0" w:firstLine="426"/>
        <w:jc w:val="both"/>
      </w:pPr>
      <w:r>
        <w:t xml:space="preserve">МП «Совершенствование системы управления муниципальной собственностью МО «Ахтубинский район» исполнена на </w:t>
      </w:r>
      <w:r>
        <w:rPr>
          <w:b/>
        </w:rPr>
        <w:t>30,8%</w:t>
      </w:r>
      <w:r>
        <w:t xml:space="preserve"> (2152,41 тыс. руб.), произведены расходы на содержание аппарата УИЗО и программное обеспечение;</w:t>
      </w:r>
    </w:p>
    <w:p w14:paraId="0BA45440">
      <w:pPr>
        <w:pStyle w:val="10"/>
        <w:numPr>
          <w:ilvl w:val="0"/>
          <w:numId w:val="3"/>
        </w:numPr>
        <w:ind w:left="54" w:firstLine="426"/>
        <w:jc w:val="both"/>
      </w:pPr>
      <w:r>
        <w:t xml:space="preserve">Иные непрограммные мероприятия исполнены на </w:t>
      </w:r>
      <w:r>
        <w:rPr>
          <w:b/>
        </w:rPr>
        <w:t>40,2%</w:t>
      </w:r>
      <w:r>
        <w:t xml:space="preserve"> (12788,0 тыс. руб.), произведено финансирование деятельности Совета МО «Ахтубинский район» (1429,39 тыс. руб.), КСП (1185,43 тыс. руб.) и иные расходы.</w:t>
      </w:r>
    </w:p>
    <w:p w14:paraId="4D6ECFFE">
      <w:pPr>
        <w:pStyle w:val="10"/>
        <w:numPr>
          <w:ilvl w:val="0"/>
          <w:numId w:val="3"/>
        </w:numPr>
        <w:ind w:left="54" w:firstLine="426"/>
        <w:jc w:val="both"/>
        <w:rPr>
          <w:color w:val="000000" w:themeColor="text1"/>
          <w14:textFill>
            <w14:solidFill>
              <w14:schemeClr w14:val="tx1"/>
            </w14:solidFill>
          </w14:textFill>
        </w:rPr>
      </w:pPr>
      <w:r>
        <w:rPr>
          <w:color w:val="000000" w:themeColor="text1"/>
          <w14:textFill>
            <w14:solidFill>
              <w14:schemeClr w14:val="tx1"/>
            </w14:solidFill>
          </w14:textFill>
        </w:rPr>
        <w:t xml:space="preserve">Непрограммное направление деятельности реализация функций органов местного самоуправления администрации МО «Ахтубинский район» исполнено на </w:t>
      </w:r>
      <w:r>
        <w:rPr>
          <w:b/>
          <w:color w:val="000000" w:themeColor="text1"/>
          <w14:textFill>
            <w14:solidFill>
              <w14:schemeClr w14:val="tx1"/>
            </w14:solidFill>
          </w14:textFill>
        </w:rPr>
        <w:t>39,7%</w:t>
      </w:r>
      <w:r>
        <w:rPr>
          <w:color w:val="000000" w:themeColor="text1"/>
          <w14:textFill>
            <w14:solidFill>
              <w14:schemeClr w14:val="tx1"/>
            </w14:solidFill>
          </w14:textFill>
        </w:rPr>
        <w:t xml:space="preserve"> (1351,37 тыс. руб.) произведено финансирование расходов на функционирование высшего должностного лица.</w:t>
      </w:r>
    </w:p>
    <w:p w14:paraId="73CA1C6B">
      <w:pPr>
        <w:jc w:val="both"/>
        <w:rPr>
          <w:sz w:val="12"/>
          <w:szCs w:val="12"/>
          <w:highlight w:val="yellow"/>
        </w:rPr>
      </w:pPr>
    </w:p>
    <w:p w14:paraId="53A4AC5A">
      <w:pPr>
        <w:jc w:val="center"/>
        <w:rPr>
          <w:b/>
          <w:lang w:eastAsia="ar-SA"/>
        </w:rPr>
      </w:pPr>
      <w:r>
        <w:rPr>
          <w:b/>
          <w:lang w:eastAsia="ar-SA"/>
        </w:rPr>
        <w:t>Анализ исполнения бюджета по источникам финансирования дефицита бюджета.</w:t>
      </w:r>
    </w:p>
    <w:p w14:paraId="525FBF8C">
      <w:pPr>
        <w:autoSpaceDE w:val="0"/>
        <w:autoSpaceDN w:val="0"/>
        <w:adjustRightInd w:val="0"/>
        <w:ind w:firstLine="567"/>
      </w:pPr>
    </w:p>
    <w:p w14:paraId="3BB7F7E6">
      <w:pPr>
        <w:autoSpaceDE w:val="0"/>
        <w:autoSpaceDN w:val="0"/>
        <w:adjustRightInd w:val="0"/>
        <w:ind w:firstLine="567"/>
        <w:jc w:val="both"/>
      </w:pPr>
      <w:r>
        <w:t xml:space="preserve">По результатам исполнения бюджета за 1 полугодие 2024 года сложился </w:t>
      </w:r>
      <w:r>
        <w:rPr>
          <w:b/>
          <w:i/>
        </w:rPr>
        <w:t>профицит</w:t>
      </w:r>
      <w:r>
        <w:t xml:space="preserve"> в размере 13870,58 тыс. руб.</w:t>
      </w:r>
    </w:p>
    <w:p w14:paraId="08FAA886">
      <w:pPr>
        <w:autoSpaceDE w:val="0"/>
        <w:autoSpaceDN w:val="0"/>
        <w:adjustRightInd w:val="0"/>
        <w:ind w:firstLine="567"/>
        <w:jc w:val="both"/>
      </w:pPr>
      <w:r>
        <w:t xml:space="preserve">Исполнение бюджета по источникам внутреннего финансирования дефицита представлено в Таблице №7: </w:t>
      </w:r>
    </w:p>
    <w:p w14:paraId="02301881">
      <w:pPr>
        <w:autoSpaceDE w:val="0"/>
        <w:autoSpaceDN w:val="0"/>
        <w:adjustRightInd w:val="0"/>
        <w:ind w:firstLine="567"/>
        <w:jc w:val="right"/>
      </w:pPr>
      <w:r>
        <w:t>Таблица № 7 (тыс. руб.)</w:t>
      </w:r>
    </w:p>
    <w:tbl>
      <w:tblPr>
        <w:tblStyle w:val="3"/>
        <w:tblW w:w="9361" w:type="dxa"/>
        <w:tblInd w:w="91" w:type="dxa"/>
        <w:tblLayout w:type="autofit"/>
        <w:tblCellMar>
          <w:top w:w="0" w:type="dxa"/>
          <w:left w:w="108" w:type="dxa"/>
          <w:bottom w:w="0" w:type="dxa"/>
          <w:right w:w="108" w:type="dxa"/>
        </w:tblCellMar>
      </w:tblPr>
      <w:tblGrid>
        <w:gridCol w:w="4538"/>
        <w:gridCol w:w="2445"/>
        <w:gridCol w:w="2378"/>
      </w:tblGrid>
      <w:tr w14:paraId="1E7F1E82">
        <w:tblPrEx>
          <w:tblCellMar>
            <w:top w:w="0" w:type="dxa"/>
            <w:left w:w="108" w:type="dxa"/>
            <w:bottom w:w="0" w:type="dxa"/>
            <w:right w:w="108" w:type="dxa"/>
          </w:tblCellMar>
        </w:tblPrEx>
        <w:trPr>
          <w:trHeight w:val="765" w:hRule="atLeast"/>
        </w:trPr>
        <w:tc>
          <w:tcPr>
            <w:tcW w:w="4538" w:type="dxa"/>
            <w:tcBorders>
              <w:top w:val="single" w:color="auto" w:sz="4" w:space="0"/>
              <w:left w:val="single" w:color="auto" w:sz="4" w:space="0"/>
              <w:bottom w:val="single" w:color="auto" w:sz="4" w:space="0"/>
              <w:right w:val="single" w:color="auto" w:sz="4" w:space="0"/>
            </w:tcBorders>
            <w:shd w:val="clear" w:color="auto" w:fill="auto"/>
            <w:vAlign w:val="center"/>
          </w:tcPr>
          <w:p w14:paraId="5E016115">
            <w:pPr>
              <w:jc w:val="center"/>
              <w:rPr>
                <w:color w:val="000000"/>
                <w:sz w:val="22"/>
                <w:szCs w:val="22"/>
              </w:rPr>
            </w:pPr>
            <w:r>
              <w:rPr>
                <w:color w:val="000000"/>
                <w:sz w:val="22"/>
                <w:szCs w:val="22"/>
              </w:rPr>
              <w:t>Наименование показателя</w:t>
            </w:r>
          </w:p>
        </w:tc>
        <w:tc>
          <w:tcPr>
            <w:tcW w:w="2445" w:type="dxa"/>
            <w:tcBorders>
              <w:top w:val="single" w:color="auto" w:sz="4" w:space="0"/>
              <w:left w:val="nil"/>
              <w:bottom w:val="single" w:color="auto" w:sz="4" w:space="0"/>
              <w:right w:val="single" w:color="auto" w:sz="4" w:space="0"/>
            </w:tcBorders>
            <w:shd w:val="clear" w:color="auto" w:fill="auto"/>
            <w:vAlign w:val="center"/>
          </w:tcPr>
          <w:p w14:paraId="4EE52F1D">
            <w:pPr>
              <w:jc w:val="center"/>
              <w:rPr>
                <w:color w:val="000000"/>
                <w:sz w:val="22"/>
                <w:szCs w:val="22"/>
              </w:rPr>
            </w:pPr>
            <w:r>
              <w:rPr>
                <w:rFonts w:eastAsia="SimSun"/>
                <w:color w:val="000000"/>
                <w:sz w:val="22"/>
                <w:szCs w:val="22"/>
                <w:lang w:eastAsia="zh-CN" w:bidi="ar"/>
              </w:rPr>
              <w:t xml:space="preserve">Утверждено (Решение о бюджете от 11.04.2024 №423) </w:t>
            </w:r>
          </w:p>
        </w:tc>
        <w:tc>
          <w:tcPr>
            <w:tcW w:w="2378" w:type="dxa"/>
            <w:tcBorders>
              <w:top w:val="single" w:color="auto" w:sz="4" w:space="0"/>
              <w:left w:val="nil"/>
              <w:bottom w:val="single" w:color="auto" w:sz="4" w:space="0"/>
              <w:right w:val="single" w:color="auto" w:sz="4" w:space="0"/>
            </w:tcBorders>
            <w:shd w:val="clear" w:color="auto" w:fill="auto"/>
            <w:vAlign w:val="center"/>
          </w:tcPr>
          <w:p w14:paraId="1DB8A066">
            <w:pPr>
              <w:jc w:val="center"/>
              <w:rPr>
                <w:color w:val="000000"/>
                <w:sz w:val="22"/>
                <w:szCs w:val="22"/>
              </w:rPr>
            </w:pPr>
            <w:r>
              <w:rPr>
                <w:color w:val="000000"/>
                <w:sz w:val="22"/>
                <w:szCs w:val="22"/>
              </w:rPr>
              <w:t>Исполнение за 1 полугодие 2024 года, тыс. руб.</w:t>
            </w:r>
          </w:p>
        </w:tc>
      </w:tr>
      <w:tr w14:paraId="4453A548">
        <w:tblPrEx>
          <w:tblCellMar>
            <w:top w:w="0" w:type="dxa"/>
            <w:left w:w="108" w:type="dxa"/>
            <w:bottom w:w="0" w:type="dxa"/>
            <w:right w:w="108" w:type="dxa"/>
          </w:tblCellMar>
        </w:tblPrEx>
        <w:trPr>
          <w:trHeight w:val="720" w:hRule="atLeast"/>
        </w:trPr>
        <w:tc>
          <w:tcPr>
            <w:tcW w:w="4538" w:type="dxa"/>
            <w:tcBorders>
              <w:top w:val="nil"/>
              <w:left w:val="single" w:color="auto" w:sz="4" w:space="0"/>
              <w:bottom w:val="single" w:color="auto" w:sz="4" w:space="0"/>
              <w:right w:val="single" w:color="auto" w:sz="4" w:space="0"/>
            </w:tcBorders>
            <w:shd w:val="clear" w:color="auto" w:fill="auto"/>
            <w:vAlign w:val="center"/>
          </w:tcPr>
          <w:p w14:paraId="2D381C06">
            <w:pPr>
              <w:rPr>
                <w:b/>
                <w:bCs/>
                <w:color w:val="000000"/>
                <w:sz w:val="22"/>
                <w:szCs w:val="22"/>
              </w:rPr>
            </w:pPr>
            <w:r>
              <w:rPr>
                <w:b/>
                <w:bCs/>
                <w:color w:val="000000"/>
                <w:sz w:val="22"/>
                <w:szCs w:val="22"/>
              </w:rPr>
              <w:t>Источники финансирования дефицита бюджета, всего</w:t>
            </w:r>
          </w:p>
        </w:tc>
        <w:tc>
          <w:tcPr>
            <w:tcW w:w="2445" w:type="dxa"/>
            <w:tcBorders>
              <w:top w:val="nil"/>
              <w:left w:val="nil"/>
              <w:bottom w:val="single" w:color="auto" w:sz="4" w:space="0"/>
              <w:right w:val="single" w:color="auto" w:sz="4" w:space="0"/>
            </w:tcBorders>
            <w:shd w:val="clear" w:color="auto" w:fill="auto"/>
            <w:vAlign w:val="center"/>
          </w:tcPr>
          <w:p w14:paraId="4BF7EA35">
            <w:pPr>
              <w:jc w:val="center"/>
              <w:textAlignment w:val="center"/>
              <w:rPr>
                <w:b/>
                <w:bCs/>
                <w:color w:val="000000"/>
                <w:sz w:val="22"/>
                <w:szCs w:val="22"/>
              </w:rPr>
            </w:pPr>
            <w:r>
              <w:rPr>
                <w:b/>
                <w:bCs/>
                <w:color w:val="000000"/>
                <w:sz w:val="22"/>
                <w:szCs w:val="22"/>
              </w:rPr>
              <w:t>37076,45</w:t>
            </w:r>
          </w:p>
        </w:tc>
        <w:tc>
          <w:tcPr>
            <w:tcW w:w="2378" w:type="dxa"/>
            <w:tcBorders>
              <w:top w:val="nil"/>
              <w:left w:val="nil"/>
              <w:bottom w:val="single" w:color="auto" w:sz="4" w:space="0"/>
              <w:right w:val="single" w:color="auto" w:sz="4" w:space="0"/>
            </w:tcBorders>
            <w:shd w:val="clear" w:color="auto" w:fill="auto"/>
            <w:vAlign w:val="center"/>
          </w:tcPr>
          <w:p w14:paraId="009AF408">
            <w:pPr>
              <w:jc w:val="center"/>
              <w:textAlignment w:val="center"/>
              <w:rPr>
                <w:b/>
                <w:bCs/>
                <w:color w:val="000000"/>
                <w:sz w:val="22"/>
                <w:szCs w:val="22"/>
              </w:rPr>
            </w:pPr>
            <w:r>
              <w:rPr>
                <w:rFonts w:eastAsia="SimSun"/>
                <w:b/>
                <w:bCs/>
                <w:color w:val="000000"/>
                <w:sz w:val="22"/>
                <w:szCs w:val="22"/>
                <w:lang w:eastAsia="zh-CN" w:bidi="ar"/>
              </w:rPr>
              <w:t>-13870,58</w:t>
            </w:r>
          </w:p>
        </w:tc>
      </w:tr>
      <w:tr w14:paraId="72BAB092">
        <w:tblPrEx>
          <w:tblCellMar>
            <w:top w:w="0" w:type="dxa"/>
            <w:left w:w="108" w:type="dxa"/>
            <w:bottom w:w="0" w:type="dxa"/>
            <w:right w:w="108" w:type="dxa"/>
          </w:tblCellMar>
        </w:tblPrEx>
        <w:trPr>
          <w:trHeight w:val="283" w:hRule="exact"/>
        </w:trPr>
        <w:tc>
          <w:tcPr>
            <w:tcW w:w="4538" w:type="dxa"/>
            <w:tcBorders>
              <w:top w:val="nil"/>
              <w:left w:val="single" w:color="auto" w:sz="4" w:space="0"/>
              <w:bottom w:val="single" w:color="auto" w:sz="4" w:space="0"/>
              <w:right w:val="single" w:color="auto" w:sz="4" w:space="0"/>
            </w:tcBorders>
            <w:shd w:val="clear" w:color="auto" w:fill="auto"/>
            <w:vAlign w:val="center"/>
          </w:tcPr>
          <w:p w14:paraId="37AB1D6E">
            <w:pPr>
              <w:rPr>
                <w:b/>
                <w:bCs/>
                <w:color w:val="000000"/>
                <w:sz w:val="22"/>
                <w:szCs w:val="22"/>
              </w:rPr>
            </w:pPr>
            <w:r>
              <w:rPr>
                <w:b/>
                <w:bCs/>
                <w:color w:val="000000"/>
                <w:sz w:val="22"/>
                <w:szCs w:val="22"/>
              </w:rPr>
              <w:t xml:space="preserve">Кредиты кредитных организаций: </w:t>
            </w:r>
          </w:p>
        </w:tc>
        <w:tc>
          <w:tcPr>
            <w:tcW w:w="2445" w:type="dxa"/>
            <w:tcBorders>
              <w:top w:val="nil"/>
              <w:left w:val="nil"/>
              <w:bottom w:val="single" w:color="auto" w:sz="4" w:space="0"/>
              <w:right w:val="single" w:color="auto" w:sz="4" w:space="0"/>
            </w:tcBorders>
            <w:shd w:val="clear" w:color="auto" w:fill="auto"/>
            <w:vAlign w:val="center"/>
          </w:tcPr>
          <w:p w14:paraId="53FBBE4B">
            <w:pPr>
              <w:jc w:val="center"/>
              <w:textAlignment w:val="center"/>
              <w:rPr>
                <w:b/>
                <w:bCs/>
                <w:color w:val="000000"/>
                <w:sz w:val="22"/>
                <w:szCs w:val="22"/>
              </w:rPr>
            </w:pPr>
            <w:r>
              <w:rPr>
                <w:b/>
                <w:bCs/>
                <w:color w:val="000000"/>
                <w:sz w:val="22"/>
                <w:szCs w:val="22"/>
              </w:rPr>
              <w:t>0,00</w:t>
            </w:r>
          </w:p>
        </w:tc>
        <w:tc>
          <w:tcPr>
            <w:tcW w:w="2378" w:type="dxa"/>
            <w:tcBorders>
              <w:top w:val="nil"/>
              <w:left w:val="nil"/>
              <w:bottom w:val="single" w:color="auto" w:sz="4" w:space="0"/>
              <w:right w:val="single" w:color="auto" w:sz="4" w:space="0"/>
            </w:tcBorders>
            <w:shd w:val="clear" w:color="auto" w:fill="auto"/>
            <w:vAlign w:val="center"/>
          </w:tcPr>
          <w:p w14:paraId="45C59CB7">
            <w:pPr>
              <w:jc w:val="center"/>
              <w:textAlignment w:val="center"/>
              <w:rPr>
                <w:b/>
                <w:bCs/>
                <w:color w:val="000000"/>
                <w:sz w:val="22"/>
                <w:szCs w:val="22"/>
              </w:rPr>
            </w:pPr>
            <w:r>
              <w:rPr>
                <w:rFonts w:eastAsia="SimSun"/>
                <w:b/>
                <w:bCs/>
                <w:color w:val="000000"/>
                <w:sz w:val="22"/>
                <w:szCs w:val="22"/>
                <w:lang w:val="en-US" w:eastAsia="zh-CN" w:bidi="ar"/>
              </w:rPr>
              <w:t xml:space="preserve"> 0,00</w:t>
            </w:r>
          </w:p>
        </w:tc>
      </w:tr>
      <w:tr w14:paraId="6CEA1D21">
        <w:tblPrEx>
          <w:tblCellMar>
            <w:top w:w="0" w:type="dxa"/>
            <w:left w:w="108" w:type="dxa"/>
            <w:bottom w:w="0" w:type="dxa"/>
            <w:right w:w="108" w:type="dxa"/>
          </w:tblCellMar>
        </w:tblPrEx>
        <w:trPr>
          <w:trHeight w:val="283" w:hRule="exact"/>
        </w:trPr>
        <w:tc>
          <w:tcPr>
            <w:tcW w:w="4538" w:type="dxa"/>
            <w:tcBorders>
              <w:top w:val="nil"/>
              <w:left w:val="single" w:color="auto" w:sz="4" w:space="0"/>
              <w:bottom w:val="single" w:color="auto" w:sz="4" w:space="0"/>
              <w:right w:val="single" w:color="auto" w:sz="4" w:space="0"/>
            </w:tcBorders>
            <w:shd w:val="clear" w:color="auto" w:fill="auto"/>
            <w:vAlign w:val="center"/>
          </w:tcPr>
          <w:p w14:paraId="58811180">
            <w:pPr>
              <w:rPr>
                <w:color w:val="000000"/>
                <w:sz w:val="22"/>
                <w:szCs w:val="22"/>
              </w:rPr>
            </w:pPr>
            <w:r>
              <w:rPr>
                <w:color w:val="000000"/>
                <w:sz w:val="22"/>
                <w:szCs w:val="22"/>
              </w:rPr>
              <w:t xml:space="preserve">Получение кредитов </w:t>
            </w:r>
          </w:p>
        </w:tc>
        <w:tc>
          <w:tcPr>
            <w:tcW w:w="2445" w:type="dxa"/>
            <w:tcBorders>
              <w:top w:val="nil"/>
              <w:left w:val="nil"/>
              <w:bottom w:val="single" w:color="auto" w:sz="4" w:space="0"/>
              <w:right w:val="single" w:color="auto" w:sz="4" w:space="0"/>
            </w:tcBorders>
            <w:shd w:val="clear" w:color="auto" w:fill="auto"/>
            <w:vAlign w:val="center"/>
          </w:tcPr>
          <w:p w14:paraId="73A4549F">
            <w:pPr>
              <w:jc w:val="center"/>
              <w:textAlignment w:val="center"/>
              <w:rPr>
                <w:color w:val="000000"/>
                <w:sz w:val="22"/>
                <w:szCs w:val="22"/>
              </w:rPr>
            </w:pPr>
            <w:r>
              <w:rPr>
                <w:color w:val="000000"/>
                <w:sz w:val="22"/>
                <w:szCs w:val="22"/>
              </w:rPr>
              <w:t>0,00</w:t>
            </w:r>
          </w:p>
        </w:tc>
        <w:tc>
          <w:tcPr>
            <w:tcW w:w="2378" w:type="dxa"/>
            <w:tcBorders>
              <w:top w:val="nil"/>
              <w:left w:val="nil"/>
              <w:bottom w:val="single" w:color="auto" w:sz="4" w:space="0"/>
              <w:right w:val="single" w:color="auto" w:sz="4" w:space="0"/>
            </w:tcBorders>
            <w:shd w:val="clear" w:color="auto" w:fill="auto"/>
            <w:vAlign w:val="center"/>
          </w:tcPr>
          <w:p w14:paraId="0CE35932">
            <w:pPr>
              <w:jc w:val="center"/>
              <w:textAlignment w:val="center"/>
              <w:rPr>
                <w:color w:val="000000"/>
                <w:sz w:val="22"/>
                <w:szCs w:val="22"/>
              </w:rPr>
            </w:pPr>
            <w:r>
              <w:rPr>
                <w:rFonts w:eastAsia="SimSun"/>
                <w:color w:val="000000"/>
                <w:sz w:val="22"/>
                <w:szCs w:val="22"/>
                <w:lang w:val="en-US" w:eastAsia="zh-CN" w:bidi="ar"/>
              </w:rPr>
              <w:t xml:space="preserve"> 0,00</w:t>
            </w:r>
          </w:p>
        </w:tc>
      </w:tr>
      <w:tr w14:paraId="284010A8">
        <w:tblPrEx>
          <w:tblCellMar>
            <w:top w:w="0" w:type="dxa"/>
            <w:left w:w="108" w:type="dxa"/>
            <w:bottom w:w="0" w:type="dxa"/>
            <w:right w:w="108" w:type="dxa"/>
          </w:tblCellMar>
        </w:tblPrEx>
        <w:trPr>
          <w:trHeight w:val="283" w:hRule="exact"/>
        </w:trPr>
        <w:tc>
          <w:tcPr>
            <w:tcW w:w="4538" w:type="dxa"/>
            <w:tcBorders>
              <w:top w:val="nil"/>
              <w:left w:val="single" w:color="auto" w:sz="4" w:space="0"/>
              <w:bottom w:val="single" w:color="auto" w:sz="4" w:space="0"/>
              <w:right w:val="single" w:color="auto" w:sz="4" w:space="0"/>
            </w:tcBorders>
            <w:shd w:val="clear" w:color="auto" w:fill="auto"/>
            <w:vAlign w:val="center"/>
          </w:tcPr>
          <w:p w14:paraId="08A468FB">
            <w:pPr>
              <w:rPr>
                <w:color w:val="000000"/>
                <w:sz w:val="22"/>
                <w:szCs w:val="22"/>
              </w:rPr>
            </w:pPr>
            <w:r>
              <w:rPr>
                <w:color w:val="000000"/>
                <w:sz w:val="22"/>
                <w:szCs w:val="22"/>
              </w:rPr>
              <w:t xml:space="preserve">Погашение кредитов </w:t>
            </w:r>
          </w:p>
        </w:tc>
        <w:tc>
          <w:tcPr>
            <w:tcW w:w="2445" w:type="dxa"/>
            <w:tcBorders>
              <w:top w:val="nil"/>
              <w:left w:val="nil"/>
              <w:bottom w:val="single" w:color="auto" w:sz="4" w:space="0"/>
              <w:right w:val="single" w:color="auto" w:sz="4" w:space="0"/>
            </w:tcBorders>
            <w:shd w:val="clear" w:color="auto" w:fill="auto"/>
            <w:vAlign w:val="center"/>
          </w:tcPr>
          <w:p w14:paraId="04671731">
            <w:pPr>
              <w:jc w:val="center"/>
              <w:textAlignment w:val="center"/>
              <w:rPr>
                <w:color w:val="000000"/>
                <w:sz w:val="22"/>
                <w:szCs w:val="22"/>
              </w:rPr>
            </w:pPr>
            <w:r>
              <w:rPr>
                <w:color w:val="000000"/>
                <w:sz w:val="22"/>
                <w:szCs w:val="22"/>
              </w:rPr>
              <w:t>0,00</w:t>
            </w:r>
          </w:p>
        </w:tc>
        <w:tc>
          <w:tcPr>
            <w:tcW w:w="2378" w:type="dxa"/>
            <w:tcBorders>
              <w:top w:val="nil"/>
              <w:left w:val="nil"/>
              <w:bottom w:val="single" w:color="auto" w:sz="4" w:space="0"/>
              <w:right w:val="single" w:color="auto" w:sz="4" w:space="0"/>
            </w:tcBorders>
            <w:shd w:val="clear" w:color="auto" w:fill="auto"/>
            <w:vAlign w:val="center"/>
          </w:tcPr>
          <w:p w14:paraId="63796401">
            <w:pPr>
              <w:jc w:val="center"/>
              <w:textAlignment w:val="center"/>
              <w:rPr>
                <w:color w:val="000000"/>
                <w:sz w:val="22"/>
                <w:szCs w:val="22"/>
              </w:rPr>
            </w:pPr>
            <w:r>
              <w:rPr>
                <w:rFonts w:eastAsia="SimSun"/>
                <w:color w:val="000000"/>
                <w:sz w:val="22"/>
                <w:szCs w:val="22"/>
                <w:lang w:val="en-US" w:eastAsia="zh-CN" w:bidi="ar"/>
              </w:rPr>
              <w:t xml:space="preserve"> 0,00</w:t>
            </w:r>
          </w:p>
        </w:tc>
      </w:tr>
      <w:tr w14:paraId="3B0C2C4E">
        <w:tblPrEx>
          <w:tblCellMar>
            <w:top w:w="0" w:type="dxa"/>
            <w:left w:w="108" w:type="dxa"/>
            <w:bottom w:w="0" w:type="dxa"/>
            <w:right w:w="108" w:type="dxa"/>
          </w:tblCellMar>
        </w:tblPrEx>
        <w:trPr>
          <w:trHeight w:val="283" w:hRule="exact"/>
        </w:trPr>
        <w:tc>
          <w:tcPr>
            <w:tcW w:w="4538" w:type="dxa"/>
            <w:tcBorders>
              <w:top w:val="nil"/>
              <w:left w:val="single" w:color="auto" w:sz="4" w:space="0"/>
              <w:bottom w:val="single" w:color="auto" w:sz="4" w:space="0"/>
              <w:right w:val="single" w:color="auto" w:sz="4" w:space="0"/>
            </w:tcBorders>
            <w:shd w:val="clear" w:color="auto" w:fill="auto"/>
            <w:vAlign w:val="center"/>
          </w:tcPr>
          <w:p w14:paraId="03503105">
            <w:pPr>
              <w:rPr>
                <w:b/>
                <w:bCs/>
                <w:color w:val="000000"/>
                <w:sz w:val="22"/>
                <w:szCs w:val="22"/>
              </w:rPr>
            </w:pPr>
            <w:r>
              <w:rPr>
                <w:b/>
                <w:bCs/>
                <w:color w:val="000000"/>
                <w:sz w:val="22"/>
                <w:szCs w:val="22"/>
              </w:rPr>
              <w:t xml:space="preserve">Бюджетные кредиты </w:t>
            </w:r>
          </w:p>
        </w:tc>
        <w:tc>
          <w:tcPr>
            <w:tcW w:w="2445" w:type="dxa"/>
            <w:tcBorders>
              <w:top w:val="nil"/>
              <w:left w:val="nil"/>
              <w:bottom w:val="single" w:color="auto" w:sz="4" w:space="0"/>
              <w:right w:val="single" w:color="auto" w:sz="4" w:space="0"/>
            </w:tcBorders>
            <w:shd w:val="clear" w:color="auto" w:fill="auto"/>
            <w:vAlign w:val="center"/>
          </w:tcPr>
          <w:p w14:paraId="23593695">
            <w:pPr>
              <w:jc w:val="center"/>
              <w:textAlignment w:val="center"/>
              <w:rPr>
                <w:b/>
                <w:bCs/>
                <w:color w:val="000000"/>
                <w:sz w:val="22"/>
                <w:szCs w:val="22"/>
              </w:rPr>
            </w:pPr>
            <w:r>
              <w:rPr>
                <w:b/>
                <w:bCs/>
                <w:color w:val="000000"/>
                <w:sz w:val="22"/>
                <w:szCs w:val="22"/>
              </w:rPr>
              <w:t>-5941,67</w:t>
            </w:r>
          </w:p>
        </w:tc>
        <w:tc>
          <w:tcPr>
            <w:tcW w:w="2378" w:type="dxa"/>
            <w:tcBorders>
              <w:top w:val="nil"/>
              <w:left w:val="nil"/>
              <w:bottom w:val="single" w:color="auto" w:sz="4" w:space="0"/>
              <w:right w:val="single" w:color="auto" w:sz="4" w:space="0"/>
            </w:tcBorders>
            <w:shd w:val="clear" w:color="auto" w:fill="auto"/>
            <w:vAlign w:val="center"/>
          </w:tcPr>
          <w:p w14:paraId="2AFF8F50">
            <w:pPr>
              <w:jc w:val="center"/>
              <w:textAlignment w:val="center"/>
              <w:rPr>
                <w:b/>
                <w:bCs/>
                <w:color w:val="000000"/>
                <w:sz w:val="22"/>
                <w:szCs w:val="22"/>
              </w:rPr>
            </w:pPr>
            <w:r>
              <w:rPr>
                <w:rFonts w:eastAsia="SimSun"/>
                <w:b/>
                <w:bCs/>
                <w:color w:val="000000"/>
                <w:sz w:val="22"/>
                <w:szCs w:val="22"/>
                <w:lang w:val="en-US" w:eastAsia="zh-CN" w:bidi="ar"/>
              </w:rPr>
              <w:t xml:space="preserve"> 0,00</w:t>
            </w:r>
          </w:p>
        </w:tc>
      </w:tr>
      <w:tr w14:paraId="43F0EA8C">
        <w:tblPrEx>
          <w:tblCellMar>
            <w:top w:w="0" w:type="dxa"/>
            <w:left w:w="108" w:type="dxa"/>
            <w:bottom w:w="0" w:type="dxa"/>
            <w:right w:w="108" w:type="dxa"/>
          </w:tblCellMar>
        </w:tblPrEx>
        <w:trPr>
          <w:trHeight w:val="283" w:hRule="exact"/>
        </w:trPr>
        <w:tc>
          <w:tcPr>
            <w:tcW w:w="4538" w:type="dxa"/>
            <w:tcBorders>
              <w:top w:val="nil"/>
              <w:left w:val="single" w:color="auto" w:sz="4" w:space="0"/>
              <w:bottom w:val="single" w:color="auto" w:sz="4" w:space="0"/>
              <w:right w:val="single" w:color="auto" w:sz="4" w:space="0"/>
            </w:tcBorders>
            <w:shd w:val="clear" w:color="auto" w:fill="auto"/>
            <w:vAlign w:val="center"/>
          </w:tcPr>
          <w:p w14:paraId="073B2348">
            <w:pPr>
              <w:rPr>
                <w:color w:val="000000"/>
                <w:sz w:val="22"/>
                <w:szCs w:val="22"/>
              </w:rPr>
            </w:pPr>
            <w:r>
              <w:rPr>
                <w:color w:val="000000"/>
                <w:sz w:val="22"/>
                <w:szCs w:val="22"/>
              </w:rPr>
              <w:t>Получение бюджетных кредитов</w:t>
            </w:r>
          </w:p>
        </w:tc>
        <w:tc>
          <w:tcPr>
            <w:tcW w:w="2445" w:type="dxa"/>
            <w:tcBorders>
              <w:top w:val="nil"/>
              <w:left w:val="nil"/>
              <w:bottom w:val="single" w:color="auto" w:sz="4" w:space="0"/>
              <w:right w:val="single" w:color="auto" w:sz="4" w:space="0"/>
            </w:tcBorders>
            <w:shd w:val="clear" w:color="auto" w:fill="auto"/>
            <w:vAlign w:val="center"/>
          </w:tcPr>
          <w:p w14:paraId="4B599864">
            <w:pPr>
              <w:jc w:val="center"/>
              <w:textAlignment w:val="center"/>
              <w:rPr>
                <w:color w:val="000000"/>
                <w:sz w:val="22"/>
                <w:szCs w:val="22"/>
              </w:rPr>
            </w:pPr>
            <w:r>
              <w:rPr>
                <w:color w:val="000000"/>
                <w:sz w:val="22"/>
                <w:szCs w:val="22"/>
              </w:rPr>
              <w:t>0,00</w:t>
            </w:r>
          </w:p>
        </w:tc>
        <w:tc>
          <w:tcPr>
            <w:tcW w:w="2378" w:type="dxa"/>
            <w:tcBorders>
              <w:top w:val="nil"/>
              <w:left w:val="nil"/>
              <w:bottom w:val="single" w:color="auto" w:sz="4" w:space="0"/>
              <w:right w:val="single" w:color="auto" w:sz="4" w:space="0"/>
            </w:tcBorders>
            <w:shd w:val="clear" w:color="auto" w:fill="auto"/>
            <w:vAlign w:val="center"/>
          </w:tcPr>
          <w:p w14:paraId="26BEA1EF">
            <w:pPr>
              <w:jc w:val="center"/>
              <w:textAlignment w:val="center"/>
              <w:rPr>
                <w:color w:val="000000"/>
                <w:sz w:val="22"/>
                <w:szCs w:val="22"/>
              </w:rPr>
            </w:pPr>
            <w:r>
              <w:rPr>
                <w:rFonts w:eastAsia="SimSun"/>
                <w:color w:val="000000"/>
                <w:sz w:val="22"/>
                <w:szCs w:val="22"/>
                <w:lang w:val="en-US" w:eastAsia="zh-CN" w:bidi="ar"/>
              </w:rPr>
              <w:t xml:space="preserve"> 0,00</w:t>
            </w:r>
          </w:p>
        </w:tc>
      </w:tr>
      <w:tr w14:paraId="269D847C">
        <w:tblPrEx>
          <w:tblCellMar>
            <w:top w:w="0" w:type="dxa"/>
            <w:left w:w="108" w:type="dxa"/>
            <w:bottom w:w="0" w:type="dxa"/>
            <w:right w:w="108" w:type="dxa"/>
          </w:tblCellMar>
        </w:tblPrEx>
        <w:trPr>
          <w:trHeight w:val="283" w:hRule="exact"/>
        </w:trPr>
        <w:tc>
          <w:tcPr>
            <w:tcW w:w="4538" w:type="dxa"/>
            <w:tcBorders>
              <w:top w:val="nil"/>
              <w:left w:val="single" w:color="auto" w:sz="4" w:space="0"/>
              <w:bottom w:val="single" w:color="auto" w:sz="4" w:space="0"/>
              <w:right w:val="single" w:color="auto" w:sz="4" w:space="0"/>
            </w:tcBorders>
            <w:shd w:val="clear" w:color="auto" w:fill="auto"/>
            <w:vAlign w:val="center"/>
          </w:tcPr>
          <w:p w14:paraId="6F1068F1">
            <w:pPr>
              <w:rPr>
                <w:color w:val="000000"/>
                <w:sz w:val="22"/>
                <w:szCs w:val="22"/>
              </w:rPr>
            </w:pPr>
            <w:r>
              <w:rPr>
                <w:color w:val="000000"/>
                <w:sz w:val="22"/>
                <w:szCs w:val="22"/>
              </w:rPr>
              <w:t xml:space="preserve">Погашение бюджетных кредитов </w:t>
            </w:r>
          </w:p>
        </w:tc>
        <w:tc>
          <w:tcPr>
            <w:tcW w:w="2445" w:type="dxa"/>
            <w:tcBorders>
              <w:top w:val="nil"/>
              <w:left w:val="nil"/>
              <w:bottom w:val="single" w:color="auto" w:sz="4" w:space="0"/>
              <w:right w:val="single" w:color="auto" w:sz="4" w:space="0"/>
            </w:tcBorders>
            <w:shd w:val="clear" w:color="auto" w:fill="auto"/>
            <w:vAlign w:val="center"/>
          </w:tcPr>
          <w:p w14:paraId="0A207FBE">
            <w:pPr>
              <w:jc w:val="center"/>
              <w:textAlignment w:val="center"/>
              <w:rPr>
                <w:color w:val="000000"/>
                <w:sz w:val="22"/>
                <w:szCs w:val="22"/>
              </w:rPr>
            </w:pPr>
            <w:r>
              <w:rPr>
                <w:color w:val="000000"/>
                <w:sz w:val="22"/>
                <w:szCs w:val="22"/>
              </w:rPr>
              <w:t>-5941,67</w:t>
            </w:r>
          </w:p>
        </w:tc>
        <w:tc>
          <w:tcPr>
            <w:tcW w:w="2378" w:type="dxa"/>
            <w:tcBorders>
              <w:top w:val="nil"/>
              <w:left w:val="nil"/>
              <w:bottom w:val="single" w:color="auto" w:sz="4" w:space="0"/>
              <w:right w:val="single" w:color="auto" w:sz="4" w:space="0"/>
            </w:tcBorders>
            <w:shd w:val="clear" w:color="auto" w:fill="auto"/>
            <w:vAlign w:val="center"/>
          </w:tcPr>
          <w:p w14:paraId="225D7A3C">
            <w:pPr>
              <w:jc w:val="center"/>
              <w:textAlignment w:val="center"/>
              <w:rPr>
                <w:color w:val="000000"/>
                <w:sz w:val="22"/>
                <w:szCs w:val="22"/>
              </w:rPr>
            </w:pPr>
            <w:r>
              <w:rPr>
                <w:rFonts w:eastAsia="SimSun"/>
                <w:color w:val="000000"/>
                <w:sz w:val="22"/>
                <w:szCs w:val="22"/>
                <w:lang w:val="en-US" w:eastAsia="zh-CN" w:bidi="ar"/>
              </w:rPr>
              <w:t xml:space="preserve"> 0,00</w:t>
            </w:r>
          </w:p>
        </w:tc>
      </w:tr>
      <w:tr w14:paraId="578E29DF">
        <w:tblPrEx>
          <w:tblCellMar>
            <w:top w:w="0" w:type="dxa"/>
            <w:left w:w="108" w:type="dxa"/>
            <w:bottom w:w="0" w:type="dxa"/>
            <w:right w:w="108" w:type="dxa"/>
          </w:tblCellMar>
        </w:tblPrEx>
        <w:trPr>
          <w:trHeight w:val="600" w:hRule="atLeast"/>
        </w:trPr>
        <w:tc>
          <w:tcPr>
            <w:tcW w:w="4538" w:type="dxa"/>
            <w:tcBorders>
              <w:top w:val="nil"/>
              <w:left w:val="single" w:color="auto" w:sz="4" w:space="0"/>
              <w:bottom w:val="single" w:color="auto" w:sz="4" w:space="0"/>
              <w:right w:val="single" w:color="auto" w:sz="4" w:space="0"/>
            </w:tcBorders>
            <w:shd w:val="clear" w:color="auto" w:fill="auto"/>
            <w:vAlign w:val="center"/>
          </w:tcPr>
          <w:p w14:paraId="33089E03">
            <w:pPr>
              <w:rPr>
                <w:b/>
                <w:bCs/>
                <w:color w:val="000000"/>
                <w:sz w:val="22"/>
                <w:szCs w:val="22"/>
              </w:rPr>
            </w:pPr>
            <w:r>
              <w:rPr>
                <w:b/>
                <w:bCs/>
                <w:color w:val="000000"/>
                <w:sz w:val="22"/>
                <w:szCs w:val="22"/>
              </w:rPr>
              <w:t>Изменение остатков средств на счетах по учету средств бюджета</w:t>
            </w:r>
          </w:p>
        </w:tc>
        <w:tc>
          <w:tcPr>
            <w:tcW w:w="2445" w:type="dxa"/>
            <w:tcBorders>
              <w:top w:val="nil"/>
              <w:left w:val="nil"/>
              <w:bottom w:val="single" w:color="auto" w:sz="4" w:space="0"/>
              <w:right w:val="single" w:color="auto" w:sz="4" w:space="0"/>
            </w:tcBorders>
            <w:shd w:val="clear" w:color="auto" w:fill="auto"/>
            <w:vAlign w:val="center"/>
          </w:tcPr>
          <w:p w14:paraId="41321C8E">
            <w:pPr>
              <w:jc w:val="center"/>
              <w:textAlignment w:val="center"/>
              <w:rPr>
                <w:b/>
                <w:bCs/>
                <w:color w:val="000000"/>
                <w:sz w:val="22"/>
                <w:szCs w:val="22"/>
              </w:rPr>
            </w:pPr>
            <w:r>
              <w:rPr>
                <w:b/>
                <w:bCs/>
                <w:color w:val="000000"/>
                <w:sz w:val="22"/>
                <w:szCs w:val="22"/>
              </w:rPr>
              <w:t>43018,11</w:t>
            </w:r>
          </w:p>
        </w:tc>
        <w:tc>
          <w:tcPr>
            <w:tcW w:w="2378" w:type="dxa"/>
            <w:tcBorders>
              <w:top w:val="nil"/>
              <w:left w:val="nil"/>
              <w:bottom w:val="single" w:color="auto" w:sz="4" w:space="0"/>
              <w:right w:val="single" w:color="auto" w:sz="4" w:space="0"/>
            </w:tcBorders>
            <w:shd w:val="clear" w:color="auto" w:fill="auto"/>
            <w:vAlign w:val="center"/>
          </w:tcPr>
          <w:p w14:paraId="43CA01ED">
            <w:pPr>
              <w:jc w:val="center"/>
              <w:textAlignment w:val="center"/>
              <w:rPr>
                <w:b/>
                <w:bCs/>
                <w:color w:val="000000"/>
                <w:sz w:val="22"/>
                <w:szCs w:val="22"/>
              </w:rPr>
            </w:pPr>
            <w:r>
              <w:rPr>
                <w:rFonts w:eastAsia="SimSun"/>
                <w:b/>
                <w:bCs/>
                <w:color w:val="000000"/>
                <w:sz w:val="22"/>
                <w:szCs w:val="22"/>
                <w:lang w:eastAsia="zh-CN" w:bidi="ar"/>
              </w:rPr>
              <w:t>-13870,58</w:t>
            </w:r>
          </w:p>
        </w:tc>
      </w:tr>
      <w:tr w14:paraId="0849981D">
        <w:tblPrEx>
          <w:tblCellMar>
            <w:top w:w="0" w:type="dxa"/>
            <w:left w:w="108" w:type="dxa"/>
            <w:bottom w:w="0" w:type="dxa"/>
            <w:right w:w="108" w:type="dxa"/>
          </w:tblCellMar>
        </w:tblPrEx>
        <w:trPr>
          <w:trHeight w:val="283" w:hRule="exact"/>
        </w:trPr>
        <w:tc>
          <w:tcPr>
            <w:tcW w:w="4538" w:type="dxa"/>
            <w:tcBorders>
              <w:top w:val="nil"/>
              <w:left w:val="single" w:color="auto" w:sz="4" w:space="0"/>
              <w:bottom w:val="single" w:color="auto" w:sz="4" w:space="0"/>
              <w:right w:val="single" w:color="auto" w:sz="4" w:space="0"/>
            </w:tcBorders>
            <w:shd w:val="clear" w:color="auto" w:fill="auto"/>
            <w:vAlign w:val="center"/>
          </w:tcPr>
          <w:p w14:paraId="19C76860">
            <w:pPr>
              <w:rPr>
                <w:b/>
                <w:bCs/>
                <w:color w:val="000000"/>
                <w:sz w:val="22"/>
                <w:szCs w:val="22"/>
              </w:rPr>
            </w:pPr>
            <w:r>
              <w:rPr>
                <w:b/>
                <w:bCs/>
                <w:color w:val="000000"/>
                <w:sz w:val="22"/>
                <w:szCs w:val="22"/>
              </w:rPr>
              <w:t xml:space="preserve">Иные источники </w:t>
            </w:r>
          </w:p>
        </w:tc>
        <w:tc>
          <w:tcPr>
            <w:tcW w:w="2445" w:type="dxa"/>
            <w:tcBorders>
              <w:top w:val="nil"/>
              <w:left w:val="nil"/>
              <w:bottom w:val="single" w:color="auto" w:sz="4" w:space="0"/>
              <w:right w:val="single" w:color="auto" w:sz="4" w:space="0"/>
            </w:tcBorders>
            <w:shd w:val="clear" w:color="auto" w:fill="auto"/>
            <w:vAlign w:val="center"/>
          </w:tcPr>
          <w:p w14:paraId="3F371B76">
            <w:pPr>
              <w:jc w:val="center"/>
              <w:textAlignment w:val="center"/>
              <w:rPr>
                <w:b/>
                <w:bCs/>
                <w:color w:val="000000"/>
                <w:sz w:val="22"/>
                <w:szCs w:val="22"/>
              </w:rPr>
            </w:pPr>
            <w:r>
              <w:rPr>
                <w:b/>
                <w:bCs/>
                <w:color w:val="000000"/>
                <w:sz w:val="22"/>
                <w:szCs w:val="22"/>
              </w:rPr>
              <w:t>0,00</w:t>
            </w:r>
          </w:p>
        </w:tc>
        <w:tc>
          <w:tcPr>
            <w:tcW w:w="2378" w:type="dxa"/>
            <w:tcBorders>
              <w:top w:val="nil"/>
              <w:left w:val="nil"/>
              <w:bottom w:val="single" w:color="auto" w:sz="4" w:space="0"/>
              <w:right w:val="single" w:color="auto" w:sz="4" w:space="0"/>
            </w:tcBorders>
            <w:shd w:val="clear" w:color="auto" w:fill="auto"/>
            <w:vAlign w:val="center"/>
          </w:tcPr>
          <w:p w14:paraId="16D0D86A">
            <w:pPr>
              <w:jc w:val="center"/>
              <w:textAlignment w:val="center"/>
              <w:rPr>
                <w:b/>
                <w:bCs/>
                <w:color w:val="000000"/>
                <w:sz w:val="22"/>
                <w:szCs w:val="22"/>
              </w:rPr>
            </w:pPr>
            <w:r>
              <w:rPr>
                <w:rFonts w:eastAsia="SimSun"/>
                <w:b/>
                <w:bCs/>
                <w:color w:val="000000"/>
                <w:sz w:val="22"/>
                <w:szCs w:val="22"/>
                <w:lang w:val="en-US" w:eastAsia="zh-CN" w:bidi="ar"/>
              </w:rPr>
              <w:t xml:space="preserve"> 0,00</w:t>
            </w:r>
          </w:p>
        </w:tc>
      </w:tr>
    </w:tbl>
    <w:p w14:paraId="0DD88B48">
      <w:pPr>
        <w:tabs>
          <w:tab w:val="left" w:pos="567"/>
        </w:tabs>
        <w:jc w:val="center"/>
        <w:rPr>
          <w:b/>
          <w:color w:val="000000"/>
          <w:sz w:val="12"/>
          <w:szCs w:val="12"/>
          <w:highlight w:val="yellow"/>
        </w:rPr>
      </w:pPr>
    </w:p>
    <w:p w14:paraId="53BD0238">
      <w:pPr>
        <w:tabs>
          <w:tab w:val="left" w:pos="567"/>
        </w:tabs>
        <w:jc w:val="both"/>
      </w:pPr>
      <w:r>
        <w:t>Расходы на обслуживание муниципального долга за 1 полугодие 2024 года по сравнению с 2023 годом не изменились и составили 0,00 тыс. руб.</w:t>
      </w:r>
    </w:p>
    <w:p w14:paraId="1FEFC0DA">
      <w:pPr>
        <w:tabs>
          <w:tab w:val="left" w:pos="567"/>
        </w:tabs>
        <w:jc w:val="both"/>
        <w:rPr>
          <w:highlight w:val="yellow"/>
        </w:rPr>
      </w:pPr>
    </w:p>
    <w:p w14:paraId="10B09325">
      <w:pPr>
        <w:tabs>
          <w:tab w:val="left" w:pos="567"/>
        </w:tabs>
        <w:jc w:val="center"/>
        <w:rPr>
          <w:b/>
          <w:color w:val="000000"/>
        </w:rPr>
      </w:pPr>
      <w:r>
        <w:rPr>
          <w:b/>
          <w:color w:val="000000"/>
        </w:rPr>
        <w:t>Выводы:</w:t>
      </w:r>
    </w:p>
    <w:p w14:paraId="3E46FC35">
      <w:pPr>
        <w:pStyle w:val="10"/>
        <w:numPr>
          <w:ilvl w:val="0"/>
          <w:numId w:val="4"/>
        </w:numPr>
        <w:tabs>
          <w:tab w:val="left" w:pos="284"/>
          <w:tab w:val="left" w:pos="567"/>
        </w:tabs>
        <w:suppressAutoHyphens/>
        <w:ind w:left="0" w:firstLine="0"/>
        <w:jc w:val="both"/>
      </w:pPr>
      <w:r>
        <w:t>Отчёт об исполнении бюджета МО «Ахтубинский район» за 1 полугодие 2024 года, утверждённый Постановлением администрации МО «Ахтубинский муниципальный район Астраханской области» от 19.07.2024 №409, поступил в КСП МО «Ахтубинский район» - 22.07.2024 года, своевременно.</w:t>
      </w:r>
    </w:p>
    <w:p w14:paraId="52B8BDF0">
      <w:pPr>
        <w:pStyle w:val="10"/>
        <w:numPr>
          <w:ilvl w:val="0"/>
          <w:numId w:val="4"/>
        </w:numPr>
        <w:tabs>
          <w:tab w:val="left" w:pos="284"/>
          <w:tab w:val="left" w:pos="567"/>
        </w:tabs>
        <w:suppressAutoHyphens/>
        <w:ind w:left="0" w:firstLine="0"/>
        <w:jc w:val="both"/>
      </w:pPr>
      <w:r>
        <w:t xml:space="preserve"> За 1 полугодие 2024 года в доходную часть бюджета поступило 1035853,14 тыс. руб. или 58,45 % к утверждённому прогнозу (1772068,79 тыс. руб.):</w:t>
      </w:r>
    </w:p>
    <w:p w14:paraId="7D789E5F">
      <w:pPr>
        <w:pStyle w:val="10"/>
        <w:tabs>
          <w:tab w:val="left" w:pos="284"/>
          <w:tab w:val="left" w:pos="567"/>
        </w:tabs>
        <w:suppressAutoHyphens/>
        <w:ind w:left="0"/>
        <w:jc w:val="both"/>
      </w:pPr>
      <w:r>
        <w:t>- налоговые доходы исполнены на 45,62% (213446,18 тыс. руб.)</w:t>
      </w:r>
    </w:p>
    <w:p w14:paraId="2329FB68">
      <w:pPr>
        <w:pStyle w:val="10"/>
        <w:tabs>
          <w:tab w:val="left" w:pos="284"/>
          <w:tab w:val="left" w:pos="567"/>
        </w:tabs>
        <w:suppressAutoHyphens/>
        <w:ind w:left="0"/>
        <w:jc w:val="both"/>
      </w:pPr>
      <w:r>
        <w:t>- неналоговые доходы исполнены на 40,15% (44603,41 тыс. руб.);</w:t>
      </w:r>
    </w:p>
    <w:p w14:paraId="1F6C9A39">
      <w:pPr>
        <w:tabs>
          <w:tab w:val="left" w:pos="284"/>
        </w:tabs>
        <w:jc w:val="both"/>
      </w:pPr>
      <w:r>
        <w:t>- безвозмездные поступления исполнены на 65,19% (777803,54 тыс. руб.).</w:t>
      </w:r>
    </w:p>
    <w:p w14:paraId="5C0F3268">
      <w:pPr>
        <w:ind w:firstLine="567"/>
        <w:jc w:val="both"/>
      </w:pPr>
      <w:r>
        <w:t>Рост общего объёма доходов относительно аналогичного периода 2023 года составляет 26,02%, или на 213865,08 тыс. руб. за счёт увеличения налоговых доходов на 13242,09 тыс. руб., снижения неналоговых доходов на (-1097,83) тыс. руб. и ростом безвозмездных поступлений на 201720,82 тыс. руб.</w:t>
      </w:r>
    </w:p>
    <w:p w14:paraId="626B3E30">
      <w:pPr>
        <w:pStyle w:val="10"/>
        <w:numPr>
          <w:ilvl w:val="0"/>
          <w:numId w:val="4"/>
        </w:numPr>
        <w:shd w:val="clear" w:color="auto" w:fill="FFFFFF"/>
        <w:tabs>
          <w:tab w:val="left" w:pos="284"/>
        </w:tabs>
        <w:ind w:left="0" w:firstLine="0"/>
        <w:jc w:val="both"/>
      </w:pPr>
      <w:r>
        <w:t>Расходы бюджета МО «Ахтубинский район» за 1 полугодие 2024 года исполнены в сумме 1021982,56 тыс. руб., или 45,0% от бюджетных назначений в сводной бюджетной росписи на 30.06.2024г. (2271794,48 тыс. руб.). Рост общего объёма расходов к аналогичному периоду 2023 года составляет 28,32% или на 225541,11 тыс. руб.</w:t>
      </w:r>
    </w:p>
    <w:p w14:paraId="7C1B5681">
      <w:pPr>
        <w:pStyle w:val="10"/>
        <w:numPr>
          <w:ilvl w:val="0"/>
          <w:numId w:val="4"/>
        </w:numPr>
        <w:tabs>
          <w:tab w:val="left" w:pos="284"/>
          <w:tab w:val="left" w:pos="567"/>
        </w:tabs>
        <w:suppressAutoHyphens/>
        <w:ind w:left="0" w:firstLine="0"/>
        <w:jc w:val="both"/>
      </w:pPr>
      <w:r>
        <w:t xml:space="preserve">По результату исполнения бюджета за 1 полугодие 2024 года сложился профицит бюджета в размере 13870,58 тыс. руб. </w:t>
      </w:r>
    </w:p>
    <w:p w14:paraId="36BD0164">
      <w:pPr>
        <w:tabs>
          <w:tab w:val="left" w:pos="284"/>
          <w:tab w:val="left" w:pos="567"/>
        </w:tabs>
        <w:suppressAutoHyphens/>
        <w:jc w:val="both"/>
      </w:pPr>
    </w:p>
    <w:p w14:paraId="65F086F5">
      <w:pPr>
        <w:tabs>
          <w:tab w:val="left" w:pos="284"/>
          <w:tab w:val="left" w:pos="567"/>
        </w:tabs>
        <w:suppressAutoHyphens/>
        <w:jc w:val="both"/>
      </w:pPr>
    </w:p>
    <w:p w14:paraId="45480D36">
      <w:pPr>
        <w:tabs>
          <w:tab w:val="left" w:pos="284"/>
          <w:tab w:val="left" w:pos="567"/>
        </w:tabs>
        <w:suppressAutoHyphens/>
        <w:jc w:val="both"/>
      </w:pPr>
    </w:p>
    <w:p w14:paraId="3A362E31">
      <w:pPr>
        <w:tabs>
          <w:tab w:val="left" w:pos="284"/>
          <w:tab w:val="left" w:pos="567"/>
        </w:tabs>
        <w:suppressAutoHyphens/>
        <w:jc w:val="both"/>
      </w:pPr>
    </w:p>
    <w:p w14:paraId="6D703065">
      <w:pPr>
        <w:rPr>
          <w:sz w:val="22"/>
          <w:szCs w:val="22"/>
        </w:rPr>
      </w:pPr>
      <w:r>
        <w:rPr>
          <w:sz w:val="22"/>
          <w:szCs w:val="22"/>
        </w:rPr>
        <w:t xml:space="preserve">Председатель </w:t>
      </w:r>
    </w:p>
    <w:p w14:paraId="7C718185">
      <w:pPr>
        <w:rPr>
          <w:sz w:val="22"/>
          <w:szCs w:val="22"/>
        </w:rPr>
      </w:pPr>
      <w:r>
        <w:rPr>
          <w:sz w:val="22"/>
          <w:szCs w:val="22"/>
        </w:rPr>
        <w:t>КСП МО «Ахтубинский район»</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Ю.Ю. Журавлева</w:t>
      </w:r>
    </w:p>
    <w:sectPr>
      <w:headerReference r:id="rId3" w:type="default"/>
      <w:pgSz w:w="11906" w:h="16838"/>
      <w:pgMar w:top="1134" w:right="850" w:bottom="1134"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942882"/>
    </w:sdtPr>
    <w:sdtContent>
      <w:p w14:paraId="2D3C637E">
        <w:pPr>
          <w:pStyle w:val="6"/>
          <w:jc w:val="center"/>
        </w:pPr>
        <w:r>
          <w:fldChar w:fldCharType="begin"/>
        </w:r>
        <w:r>
          <w:instrText xml:space="preserve">PAGE   \* MERGEFORMAT</w:instrText>
        </w:r>
        <w:r>
          <w:fldChar w:fldCharType="separate"/>
        </w:r>
        <w:r>
          <w:t>9</w:t>
        </w:r>
        <w:r>
          <w:fldChar w:fldCharType="end"/>
        </w:r>
      </w:p>
    </w:sdtContent>
  </w:sdt>
  <w:p w14:paraId="76DCA5A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F7B5A"/>
    <w:multiLevelType w:val="multilevel"/>
    <w:tmpl w:val="37AF7B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A12CA3"/>
    <w:multiLevelType w:val="multilevel"/>
    <w:tmpl w:val="52A12CA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7C55BFB"/>
    <w:multiLevelType w:val="multilevel"/>
    <w:tmpl w:val="57C55BFB"/>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836E2E"/>
    <w:multiLevelType w:val="multilevel"/>
    <w:tmpl w:val="79836E2E"/>
    <w:lvl w:ilvl="0" w:tentative="0">
      <w:start w:val="1"/>
      <w:numFmt w:val="decimal"/>
      <w:lvlText w:val="%1."/>
      <w:lvlJc w:val="left"/>
      <w:pPr>
        <w:ind w:left="720" w:hanging="360"/>
      </w:pPr>
      <w:rPr>
        <w:b/>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08"/>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48"/>
    <w:rsid w:val="000049AB"/>
    <w:rsid w:val="000051AB"/>
    <w:rsid w:val="00005CAC"/>
    <w:rsid w:val="00013A82"/>
    <w:rsid w:val="000153C9"/>
    <w:rsid w:val="000229FF"/>
    <w:rsid w:val="00030B60"/>
    <w:rsid w:val="00031ECB"/>
    <w:rsid w:val="00034342"/>
    <w:rsid w:val="0005017B"/>
    <w:rsid w:val="00050650"/>
    <w:rsid w:val="00052509"/>
    <w:rsid w:val="00057892"/>
    <w:rsid w:val="000636F7"/>
    <w:rsid w:val="00064DC9"/>
    <w:rsid w:val="000667F0"/>
    <w:rsid w:val="00072EA5"/>
    <w:rsid w:val="00077D6A"/>
    <w:rsid w:val="000863A4"/>
    <w:rsid w:val="00087A25"/>
    <w:rsid w:val="000917E8"/>
    <w:rsid w:val="00092577"/>
    <w:rsid w:val="00096640"/>
    <w:rsid w:val="000A7E4C"/>
    <w:rsid w:val="000B4721"/>
    <w:rsid w:val="000B7709"/>
    <w:rsid w:val="000C30A1"/>
    <w:rsid w:val="000C7734"/>
    <w:rsid w:val="000D180C"/>
    <w:rsid w:val="000D655E"/>
    <w:rsid w:val="00114EBB"/>
    <w:rsid w:val="00115F17"/>
    <w:rsid w:val="00120EEB"/>
    <w:rsid w:val="001243DC"/>
    <w:rsid w:val="00124877"/>
    <w:rsid w:val="00132A97"/>
    <w:rsid w:val="00147CB5"/>
    <w:rsid w:val="00150D10"/>
    <w:rsid w:val="00151250"/>
    <w:rsid w:val="00151594"/>
    <w:rsid w:val="00155CFB"/>
    <w:rsid w:val="00164275"/>
    <w:rsid w:val="001709A6"/>
    <w:rsid w:val="001723D1"/>
    <w:rsid w:val="00173D2E"/>
    <w:rsid w:val="001761E4"/>
    <w:rsid w:val="0017669A"/>
    <w:rsid w:val="00185F11"/>
    <w:rsid w:val="00186666"/>
    <w:rsid w:val="001868C3"/>
    <w:rsid w:val="001918AC"/>
    <w:rsid w:val="00195F1A"/>
    <w:rsid w:val="001A095B"/>
    <w:rsid w:val="001A21AC"/>
    <w:rsid w:val="001A2DEF"/>
    <w:rsid w:val="001A51CF"/>
    <w:rsid w:val="001A768F"/>
    <w:rsid w:val="001B7203"/>
    <w:rsid w:val="001C0076"/>
    <w:rsid w:val="001C19C5"/>
    <w:rsid w:val="001D310B"/>
    <w:rsid w:val="001D3736"/>
    <w:rsid w:val="001D3790"/>
    <w:rsid w:val="001D5988"/>
    <w:rsid w:val="001D6554"/>
    <w:rsid w:val="001D6D45"/>
    <w:rsid w:val="001E3D5B"/>
    <w:rsid w:val="001E69AF"/>
    <w:rsid w:val="00200175"/>
    <w:rsid w:val="00203B5D"/>
    <w:rsid w:val="00203D06"/>
    <w:rsid w:val="0021599D"/>
    <w:rsid w:val="002205D5"/>
    <w:rsid w:val="002213FE"/>
    <w:rsid w:val="0022215C"/>
    <w:rsid w:val="00224396"/>
    <w:rsid w:val="00226DE3"/>
    <w:rsid w:val="002273CB"/>
    <w:rsid w:val="00230357"/>
    <w:rsid w:val="00230AC9"/>
    <w:rsid w:val="002402B7"/>
    <w:rsid w:val="00241228"/>
    <w:rsid w:val="00243468"/>
    <w:rsid w:val="00252598"/>
    <w:rsid w:val="00254DC6"/>
    <w:rsid w:val="00255CBE"/>
    <w:rsid w:val="00255D25"/>
    <w:rsid w:val="002613BD"/>
    <w:rsid w:val="00262623"/>
    <w:rsid w:val="00267E82"/>
    <w:rsid w:val="00280864"/>
    <w:rsid w:val="00281085"/>
    <w:rsid w:val="00282993"/>
    <w:rsid w:val="00286A37"/>
    <w:rsid w:val="00286CCE"/>
    <w:rsid w:val="00290D4C"/>
    <w:rsid w:val="002974F3"/>
    <w:rsid w:val="002B5AB1"/>
    <w:rsid w:val="002C3094"/>
    <w:rsid w:val="002C4D43"/>
    <w:rsid w:val="002D670E"/>
    <w:rsid w:val="002E3713"/>
    <w:rsid w:val="002F0AA0"/>
    <w:rsid w:val="002F70CF"/>
    <w:rsid w:val="00301743"/>
    <w:rsid w:val="00306B9E"/>
    <w:rsid w:val="003134DE"/>
    <w:rsid w:val="00317904"/>
    <w:rsid w:val="00320527"/>
    <w:rsid w:val="003218B7"/>
    <w:rsid w:val="003319FD"/>
    <w:rsid w:val="00334E32"/>
    <w:rsid w:val="00336F7B"/>
    <w:rsid w:val="00341F5F"/>
    <w:rsid w:val="00347948"/>
    <w:rsid w:val="00354C4E"/>
    <w:rsid w:val="00361843"/>
    <w:rsid w:val="00363139"/>
    <w:rsid w:val="00366089"/>
    <w:rsid w:val="00373D34"/>
    <w:rsid w:val="00377BF7"/>
    <w:rsid w:val="00380781"/>
    <w:rsid w:val="003A11CA"/>
    <w:rsid w:val="003B4189"/>
    <w:rsid w:val="003B47BA"/>
    <w:rsid w:val="003C1F0E"/>
    <w:rsid w:val="003C5567"/>
    <w:rsid w:val="003C5918"/>
    <w:rsid w:val="003C5A7C"/>
    <w:rsid w:val="003D4D6F"/>
    <w:rsid w:val="003E331B"/>
    <w:rsid w:val="003E6433"/>
    <w:rsid w:val="003F1E26"/>
    <w:rsid w:val="00405E11"/>
    <w:rsid w:val="004112E8"/>
    <w:rsid w:val="00413861"/>
    <w:rsid w:val="00414C08"/>
    <w:rsid w:val="00421E92"/>
    <w:rsid w:val="0042259F"/>
    <w:rsid w:val="00422FF8"/>
    <w:rsid w:val="0043032F"/>
    <w:rsid w:val="00437001"/>
    <w:rsid w:val="00443DE7"/>
    <w:rsid w:val="0044608E"/>
    <w:rsid w:val="00447AC3"/>
    <w:rsid w:val="0045117C"/>
    <w:rsid w:val="0045541F"/>
    <w:rsid w:val="004622EC"/>
    <w:rsid w:val="00465EC3"/>
    <w:rsid w:val="004676EC"/>
    <w:rsid w:val="00475872"/>
    <w:rsid w:val="004802E8"/>
    <w:rsid w:val="00480F98"/>
    <w:rsid w:val="00481975"/>
    <w:rsid w:val="00482098"/>
    <w:rsid w:val="00485FCE"/>
    <w:rsid w:val="0048656F"/>
    <w:rsid w:val="00494D47"/>
    <w:rsid w:val="00496C4B"/>
    <w:rsid w:val="00496CFC"/>
    <w:rsid w:val="004A0719"/>
    <w:rsid w:val="004A0F90"/>
    <w:rsid w:val="004A173A"/>
    <w:rsid w:val="004A282A"/>
    <w:rsid w:val="004A307E"/>
    <w:rsid w:val="004B7AF3"/>
    <w:rsid w:val="004D10B1"/>
    <w:rsid w:val="004D270B"/>
    <w:rsid w:val="004D36B5"/>
    <w:rsid w:val="004D7784"/>
    <w:rsid w:val="004F0DA6"/>
    <w:rsid w:val="004F3869"/>
    <w:rsid w:val="004F3E35"/>
    <w:rsid w:val="00503C12"/>
    <w:rsid w:val="00511CD9"/>
    <w:rsid w:val="00514B91"/>
    <w:rsid w:val="00521FCF"/>
    <w:rsid w:val="005232F3"/>
    <w:rsid w:val="005248D9"/>
    <w:rsid w:val="00527B46"/>
    <w:rsid w:val="0053576F"/>
    <w:rsid w:val="00553EC8"/>
    <w:rsid w:val="005635A8"/>
    <w:rsid w:val="005711E1"/>
    <w:rsid w:val="0058006E"/>
    <w:rsid w:val="005851D3"/>
    <w:rsid w:val="005930B6"/>
    <w:rsid w:val="005A0F66"/>
    <w:rsid w:val="005A6846"/>
    <w:rsid w:val="005A70DC"/>
    <w:rsid w:val="005A75F0"/>
    <w:rsid w:val="005B11D8"/>
    <w:rsid w:val="005B1888"/>
    <w:rsid w:val="005B586A"/>
    <w:rsid w:val="005C2115"/>
    <w:rsid w:val="005C468C"/>
    <w:rsid w:val="005C774B"/>
    <w:rsid w:val="005D2AC7"/>
    <w:rsid w:val="005E1518"/>
    <w:rsid w:val="005F4F77"/>
    <w:rsid w:val="00601BAE"/>
    <w:rsid w:val="00602C8B"/>
    <w:rsid w:val="00610ADC"/>
    <w:rsid w:val="00616663"/>
    <w:rsid w:val="00621DC7"/>
    <w:rsid w:val="00624483"/>
    <w:rsid w:val="00624A0F"/>
    <w:rsid w:val="006308CF"/>
    <w:rsid w:val="00640B9D"/>
    <w:rsid w:val="0065117B"/>
    <w:rsid w:val="00653849"/>
    <w:rsid w:val="006540A5"/>
    <w:rsid w:val="00655895"/>
    <w:rsid w:val="00657D3D"/>
    <w:rsid w:val="006623BC"/>
    <w:rsid w:val="00670F41"/>
    <w:rsid w:val="00673522"/>
    <w:rsid w:val="0067517B"/>
    <w:rsid w:val="00680B97"/>
    <w:rsid w:val="006851C7"/>
    <w:rsid w:val="00691E89"/>
    <w:rsid w:val="00694644"/>
    <w:rsid w:val="0069465A"/>
    <w:rsid w:val="006962AE"/>
    <w:rsid w:val="006A4C40"/>
    <w:rsid w:val="006A7090"/>
    <w:rsid w:val="006B5DC3"/>
    <w:rsid w:val="006D39B7"/>
    <w:rsid w:val="006D4484"/>
    <w:rsid w:val="006D4B40"/>
    <w:rsid w:val="006D53DF"/>
    <w:rsid w:val="006E3E92"/>
    <w:rsid w:val="006E7800"/>
    <w:rsid w:val="007024E8"/>
    <w:rsid w:val="0070394D"/>
    <w:rsid w:val="00714F6B"/>
    <w:rsid w:val="00715898"/>
    <w:rsid w:val="00721738"/>
    <w:rsid w:val="00735FB4"/>
    <w:rsid w:val="0074480D"/>
    <w:rsid w:val="0075157D"/>
    <w:rsid w:val="007534B1"/>
    <w:rsid w:val="007848B1"/>
    <w:rsid w:val="00786ADE"/>
    <w:rsid w:val="0079047B"/>
    <w:rsid w:val="007A3935"/>
    <w:rsid w:val="007A734E"/>
    <w:rsid w:val="007C032A"/>
    <w:rsid w:val="007C2BB2"/>
    <w:rsid w:val="007C33D7"/>
    <w:rsid w:val="007D12F1"/>
    <w:rsid w:val="007D22C7"/>
    <w:rsid w:val="007E437F"/>
    <w:rsid w:val="007E5B88"/>
    <w:rsid w:val="007E7086"/>
    <w:rsid w:val="007F01B3"/>
    <w:rsid w:val="007F17F1"/>
    <w:rsid w:val="00800B13"/>
    <w:rsid w:val="0081159D"/>
    <w:rsid w:val="00823D34"/>
    <w:rsid w:val="00824C1D"/>
    <w:rsid w:val="008322F7"/>
    <w:rsid w:val="00833068"/>
    <w:rsid w:val="00834EEC"/>
    <w:rsid w:val="00840762"/>
    <w:rsid w:val="0084632B"/>
    <w:rsid w:val="008519B7"/>
    <w:rsid w:val="00851E07"/>
    <w:rsid w:val="00852E09"/>
    <w:rsid w:val="00867945"/>
    <w:rsid w:val="008839FB"/>
    <w:rsid w:val="00884FF4"/>
    <w:rsid w:val="00890354"/>
    <w:rsid w:val="00891BCA"/>
    <w:rsid w:val="0089548B"/>
    <w:rsid w:val="008A7799"/>
    <w:rsid w:val="008B12BF"/>
    <w:rsid w:val="008B2B40"/>
    <w:rsid w:val="008B4489"/>
    <w:rsid w:val="008B7CBC"/>
    <w:rsid w:val="008C1097"/>
    <w:rsid w:val="008C22E1"/>
    <w:rsid w:val="008C451F"/>
    <w:rsid w:val="008D5B59"/>
    <w:rsid w:val="008D6AE5"/>
    <w:rsid w:val="008E0BF4"/>
    <w:rsid w:val="008F2080"/>
    <w:rsid w:val="008F6C0B"/>
    <w:rsid w:val="008F72F6"/>
    <w:rsid w:val="00903FF5"/>
    <w:rsid w:val="00910B79"/>
    <w:rsid w:val="00913010"/>
    <w:rsid w:val="009164DD"/>
    <w:rsid w:val="009208EB"/>
    <w:rsid w:val="00924CAD"/>
    <w:rsid w:val="00924F74"/>
    <w:rsid w:val="00927DD3"/>
    <w:rsid w:val="00931252"/>
    <w:rsid w:val="0093599D"/>
    <w:rsid w:val="00941A15"/>
    <w:rsid w:val="00945E46"/>
    <w:rsid w:val="00947BC9"/>
    <w:rsid w:val="009532E3"/>
    <w:rsid w:val="00953853"/>
    <w:rsid w:val="0095413D"/>
    <w:rsid w:val="00954C72"/>
    <w:rsid w:val="0096042C"/>
    <w:rsid w:val="0096134B"/>
    <w:rsid w:val="00962018"/>
    <w:rsid w:val="00966AC6"/>
    <w:rsid w:val="009831A1"/>
    <w:rsid w:val="009934D8"/>
    <w:rsid w:val="009A3080"/>
    <w:rsid w:val="009C03D9"/>
    <w:rsid w:val="009C35C7"/>
    <w:rsid w:val="009C55E9"/>
    <w:rsid w:val="009D1BC0"/>
    <w:rsid w:val="009E27F0"/>
    <w:rsid w:val="009F5AD1"/>
    <w:rsid w:val="009F7F51"/>
    <w:rsid w:val="00A003C6"/>
    <w:rsid w:val="00A019AA"/>
    <w:rsid w:val="00A024FC"/>
    <w:rsid w:val="00A044CB"/>
    <w:rsid w:val="00A15E7C"/>
    <w:rsid w:val="00A25AB1"/>
    <w:rsid w:val="00A312CB"/>
    <w:rsid w:val="00A54BBD"/>
    <w:rsid w:val="00A55DAA"/>
    <w:rsid w:val="00A570CE"/>
    <w:rsid w:val="00A60EC4"/>
    <w:rsid w:val="00A76FD4"/>
    <w:rsid w:val="00A876A6"/>
    <w:rsid w:val="00A9120D"/>
    <w:rsid w:val="00AA65F0"/>
    <w:rsid w:val="00AA710C"/>
    <w:rsid w:val="00AB581F"/>
    <w:rsid w:val="00AB7A5D"/>
    <w:rsid w:val="00AD1626"/>
    <w:rsid w:val="00AD3717"/>
    <w:rsid w:val="00AD5148"/>
    <w:rsid w:val="00AD5B1B"/>
    <w:rsid w:val="00AE0F15"/>
    <w:rsid w:val="00AE2B95"/>
    <w:rsid w:val="00AE4B17"/>
    <w:rsid w:val="00AF222A"/>
    <w:rsid w:val="00AF300F"/>
    <w:rsid w:val="00AF5C62"/>
    <w:rsid w:val="00B06CDC"/>
    <w:rsid w:val="00B10BF9"/>
    <w:rsid w:val="00B11EB3"/>
    <w:rsid w:val="00B135E3"/>
    <w:rsid w:val="00B258A0"/>
    <w:rsid w:val="00B331F6"/>
    <w:rsid w:val="00B35424"/>
    <w:rsid w:val="00B558A1"/>
    <w:rsid w:val="00B64057"/>
    <w:rsid w:val="00B73E83"/>
    <w:rsid w:val="00B81239"/>
    <w:rsid w:val="00B903BF"/>
    <w:rsid w:val="00B90FF0"/>
    <w:rsid w:val="00BB0875"/>
    <w:rsid w:val="00BB1FEA"/>
    <w:rsid w:val="00BB233C"/>
    <w:rsid w:val="00BB2E14"/>
    <w:rsid w:val="00BB58E5"/>
    <w:rsid w:val="00BD1632"/>
    <w:rsid w:val="00BD49F4"/>
    <w:rsid w:val="00BE1B51"/>
    <w:rsid w:val="00BE20F0"/>
    <w:rsid w:val="00BE2C8A"/>
    <w:rsid w:val="00BF3DAB"/>
    <w:rsid w:val="00BF5E27"/>
    <w:rsid w:val="00C14CF1"/>
    <w:rsid w:val="00C21F7D"/>
    <w:rsid w:val="00C224D8"/>
    <w:rsid w:val="00C3112E"/>
    <w:rsid w:val="00C33B71"/>
    <w:rsid w:val="00C4053E"/>
    <w:rsid w:val="00C53438"/>
    <w:rsid w:val="00C53B99"/>
    <w:rsid w:val="00C55EB4"/>
    <w:rsid w:val="00C6182C"/>
    <w:rsid w:val="00C6610B"/>
    <w:rsid w:val="00C66CC8"/>
    <w:rsid w:val="00C71B31"/>
    <w:rsid w:val="00C860C7"/>
    <w:rsid w:val="00C90BEE"/>
    <w:rsid w:val="00C94B30"/>
    <w:rsid w:val="00C95434"/>
    <w:rsid w:val="00CA1325"/>
    <w:rsid w:val="00CB3AAD"/>
    <w:rsid w:val="00CD3343"/>
    <w:rsid w:val="00CD5491"/>
    <w:rsid w:val="00CE422D"/>
    <w:rsid w:val="00CE44BD"/>
    <w:rsid w:val="00CE5115"/>
    <w:rsid w:val="00CE5C92"/>
    <w:rsid w:val="00D00AFB"/>
    <w:rsid w:val="00D05993"/>
    <w:rsid w:val="00D1096C"/>
    <w:rsid w:val="00D11CA9"/>
    <w:rsid w:val="00D12CB7"/>
    <w:rsid w:val="00D1411D"/>
    <w:rsid w:val="00D162F0"/>
    <w:rsid w:val="00D225B0"/>
    <w:rsid w:val="00D34DE9"/>
    <w:rsid w:val="00D369E2"/>
    <w:rsid w:val="00D445F5"/>
    <w:rsid w:val="00D4514C"/>
    <w:rsid w:val="00D458F3"/>
    <w:rsid w:val="00D505AE"/>
    <w:rsid w:val="00D5466B"/>
    <w:rsid w:val="00D5761D"/>
    <w:rsid w:val="00D61F61"/>
    <w:rsid w:val="00D7180B"/>
    <w:rsid w:val="00D82910"/>
    <w:rsid w:val="00D832EE"/>
    <w:rsid w:val="00D86FE6"/>
    <w:rsid w:val="00D8730A"/>
    <w:rsid w:val="00D94BBE"/>
    <w:rsid w:val="00DB3EA3"/>
    <w:rsid w:val="00DB64C6"/>
    <w:rsid w:val="00DC228A"/>
    <w:rsid w:val="00DC471B"/>
    <w:rsid w:val="00DD2D36"/>
    <w:rsid w:val="00DE0350"/>
    <w:rsid w:val="00DE1F68"/>
    <w:rsid w:val="00DE7222"/>
    <w:rsid w:val="00DF219A"/>
    <w:rsid w:val="00DF2912"/>
    <w:rsid w:val="00E02493"/>
    <w:rsid w:val="00E03795"/>
    <w:rsid w:val="00E044D9"/>
    <w:rsid w:val="00E057AC"/>
    <w:rsid w:val="00E154DC"/>
    <w:rsid w:val="00E1610D"/>
    <w:rsid w:val="00E24DE2"/>
    <w:rsid w:val="00E26111"/>
    <w:rsid w:val="00E312D8"/>
    <w:rsid w:val="00E317B3"/>
    <w:rsid w:val="00E3226A"/>
    <w:rsid w:val="00E50449"/>
    <w:rsid w:val="00E51F5D"/>
    <w:rsid w:val="00E52970"/>
    <w:rsid w:val="00E644DA"/>
    <w:rsid w:val="00E6625C"/>
    <w:rsid w:val="00E70552"/>
    <w:rsid w:val="00E86FE5"/>
    <w:rsid w:val="00E964FA"/>
    <w:rsid w:val="00EA17B3"/>
    <w:rsid w:val="00EB118C"/>
    <w:rsid w:val="00EB1EE1"/>
    <w:rsid w:val="00EB2EF1"/>
    <w:rsid w:val="00EB477D"/>
    <w:rsid w:val="00EB48C0"/>
    <w:rsid w:val="00EB4EF4"/>
    <w:rsid w:val="00EB59AC"/>
    <w:rsid w:val="00EB5C5F"/>
    <w:rsid w:val="00EC5238"/>
    <w:rsid w:val="00EC7D4D"/>
    <w:rsid w:val="00EE0158"/>
    <w:rsid w:val="00EF05C9"/>
    <w:rsid w:val="00EF4D5B"/>
    <w:rsid w:val="00EF537A"/>
    <w:rsid w:val="00F0179F"/>
    <w:rsid w:val="00F02043"/>
    <w:rsid w:val="00F02D31"/>
    <w:rsid w:val="00F042E2"/>
    <w:rsid w:val="00F06443"/>
    <w:rsid w:val="00F06857"/>
    <w:rsid w:val="00F07568"/>
    <w:rsid w:val="00F10E97"/>
    <w:rsid w:val="00F1234B"/>
    <w:rsid w:val="00F1305C"/>
    <w:rsid w:val="00F1425C"/>
    <w:rsid w:val="00F1581E"/>
    <w:rsid w:val="00F17906"/>
    <w:rsid w:val="00F36F41"/>
    <w:rsid w:val="00F4307B"/>
    <w:rsid w:val="00F45D7A"/>
    <w:rsid w:val="00F462C6"/>
    <w:rsid w:val="00F515F0"/>
    <w:rsid w:val="00F54EDE"/>
    <w:rsid w:val="00F62CB5"/>
    <w:rsid w:val="00F64024"/>
    <w:rsid w:val="00F66709"/>
    <w:rsid w:val="00F67E53"/>
    <w:rsid w:val="00F766E2"/>
    <w:rsid w:val="00F776C4"/>
    <w:rsid w:val="00F82959"/>
    <w:rsid w:val="00F82CF2"/>
    <w:rsid w:val="00F969EF"/>
    <w:rsid w:val="00FA60CB"/>
    <w:rsid w:val="00FA6EF6"/>
    <w:rsid w:val="00FB002E"/>
    <w:rsid w:val="00FB2BE7"/>
    <w:rsid w:val="00FC4C10"/>
    <w:rsid w:val="00FC6394"/>
    <w:rsid w:val="00FD560B"/>
    <w:rsid w:val="00FD6623"/>
    <w:rsid w:val="00FE4483"/>
    <w:rsid w:val="00FE740D"/>
    <w:rsid w:val="027B2485"/>
    <w:rsid w:val="02CF08E9"/>
    <w:rsid w:val="0EA95D64"/>
    <w:rsid w:val="0EAA37E4"/>
    <w:rsid w:val="0F8A31B7"/>
    <w:rsid w:val="17E11AC6"/>
    <w:rsid w:val="1CF062E0"/>
    <w:rsid w:val="1D6D4186"/>
    <w:rsid w:val="1E327446"/>
    <w:rsid w:val="1ECD4F22"/>
    <w:rsid w:val="22526214"/>
    <w:rsid w:val="23BD5A59"/>
    <w:rsid w:val="24586DFD"/>
    <w:rsid w:val="28155AF7"/>
    <w:rsid w:val="2DE26CF2"/>
    <w:rsid w:val="2EAA17FB"/>
    <w:rsid w:val="30EB4393"/>
    <w:rsid w:val="34D90411"/>
    <w:rsid w:val="38212A85"/>
    <w:rsid w:val="39045116"/>
    <w:rsid w:val="396B2E9B"/>
    <w:rsid w:val="3A175C0B"/>
    <w:rsid w:val="40E05450"/>
    <w:rsid w:val="4286389C"/>
    <w:rsid w:val="42C36300"/>
    <w:rsid w:val="45D737C7"/>
    <w:rsid w:val="45F85DD1"/>
    <w:rsid w:val="4AB354E8"/>
    <w:rsid w:val="541553CA"/>
    <w:rsid w:val="58861A44"/>
    <w:rsid w:val="59777CA8"/>
    <w:rsid w:val="6360744E"/>
    <w:rsid w:val="6EF35A55"/>
    <w:rsid w:val="71EF7A64"/>
    <w:rsid w:val="79300733"/>
    <w:rsid w:val="7A767E30"/>
    <w:rsid w:val="7C6155FB"/>
    <w:rsid w:val="7E042EEE"/>
    <w:rsid w:val="7E1F48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autoRedefine/>
    <w:unhideWhenUsed/>
    <w:qFormat/>
    <w:uiPriority w:val="99"/>
    <w:rPr>
      <w:color w:val="0000FF" w:themeColor="hyperlink"/>
      <w:u w:val="single"/>
      <w14:textFill>
        <w14:solidFill>
          <w14:schemeClr w14:val="hlink"/>
        </w14:solidFill>
      </w14:textFill>
    </w:rPr>
  </w:style>
  <w:style w:type="paragraph" w:styleId="5">
    <w:name w:val="Balloon Text"/>
    <w:basedOn w:val="1"/>
    <w:link w:val="13"/>
    <w:semiHidden/>
    <w:unhideWhenUsed/>
    <w:qFormat/>
    <w:uiPriority w:val="99"/>
    <w:rPr>
      <w:rFonts w:ascii="Tahoma" w:hAnsi="Tahoma" w:cs="Tahoma"/>
      <w:sz w:val="16"/>
      <w:szCs w:val="16"/>
    </w:rPr>
  </w:style>
  <w:style w:type="paragraph" w:styleId="6">
    <w:name w:val="header"/>
    <w:basedOn w:val="1"/>
    <w:link w:val="11"/>
    <w:unhideWhenUsed/>
    <w:qFormat/>
    <w:uiPriority w:val="99"/>
    <w:pPr>
      <w:tabs>
        <w:tab w:val="center" w:pos="4677"/>
        <w:tab w:val="right" w:pos="9355"/>
      </w:tabs>
    </w:pPr>
  </w:style>
  <w:style w:type="paragraph" w:styleId="7">
    <w:name w:val="Body Text"/>
    <w:basedOn w:val="1"/>
    <w:link w:val="14"/>
    <w:autoRedefine/>
    <w:qFormat/>
    <w:uiPriority w:val="0"/>
    <w:pPr>
      <w:suppressAutoHyphens/>
      <w:spacing w:after="120"/>
    </w:pPr>
    <w:rPr>
      <w:lang w:eastAsia="ar-SA"/>
    </w:rPr>
  </w:style>
  <w:style w:type="paragraph" w:styleId="8">
    <w:name w:val="footer"/>
    <w:basedOn w:val="1"/>
    <w:link w:val="12"/>
    <w:autoRedefine/>
    <w:unhideWhenUsed/>
    <w:qFormat/>
    <w:uiPriority w:val="99"/>
    <w:pPr>
      <w:tabs>
        <w:tab w:val="center" w:pos="4677"/>
        <w:tab w:val="right" w:pos="9355"/>
      </w:tabs>
    </w:pPr>
  </w:style>
  <w:style w:type="table" w:styleId="9">
    <w:name w:val="Table Grid"/>
    <w:basedOn w:val="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34"/>
    <w:pPr>
      <w:ind w:left="720"/>
      <w:contextualSpacing/>
    </w:pPr>
  </w:style>
  <w:style w:type="character" w:customStyle="1" w:styleId="11">
    <w:name w:val="Верхний колонтитул Знак"/>
    <w:basedOn w:val="2"/>
    <w:link w:val="6"/>
    <w:autoRedefine/>
    <w:qFormat/>
    <w:uiPriority w:val="99"/>
    <w:rPr>
      <w:rFonts w:ascii="Times New Roman" w:hAnsi="Times New Roman" w:eastAsia="Times New Roman" w:cs="Times New Roman"/>
      <w:sz w:val="24"/>
      <w:szCs w:val="24"/>
      <w:lang w:eastAsia="ru-RU"/>
    </w:rPr>
  </w:style>
  <w:style w:type="character" w:customStyle="1" w:styleId="12">
    <w:name w:val="Нижний колонтитул Знак"/>
    <w:basedOn w:val="2"/>
    <w:link w:val="8"/>
    <w:autoRedefine/>
    <w:qFormat/>
    <w:uiPriority w:val="99"/>
    <w:rPr>
      <w:rFonts w:ascii="Times New Roman" w:hAnsi="Times New Roman" w:eastAsia="Times New Roman" w:cs="Times New Roman"/>
      <w:sz w:val="24"/>
      <w:szCs w:val="24"/>
      <w:lang w:eastAsia="ru-RU"/>
    </w:rPr>
  </w:style>
  <w:style w:type="character" w:customStyle="1" w:styleId="13">
    <w:name w:val="Текст выноски Знак"/>
    <w:basedOn w:val="2"/>
    <w:link w:val="5"/>
    <w:autoRedefine/>
    <w:semiHidden/>
    <w:qFormat/>
    <w:uiPriority w:val="99"/>
    <w:rPr>
      <w:rFonts w:ascii="Tahoma" w:hAnsi="Tahoma" w:eastAsia="Times New Roman" w:cs="Tahoma"/>
      <w:sz w:val="16"/>
      <w:szCs w:val="16"/>
      <w:lang w:eastAsia="ru-RU"/>
    </w:rPr>
  </w:style>
  <w:style w:type="character" w:customStyle="1" w:styleId="14">
    <w:name w:val="Основной текст Знак"/>
    <w:basedOn w:val="2"/>
    <w:link w:val="7"/>
    <w:autoRedefine/>
    <w:qFormat/>
    <w:uiPriority w:val="0"/>
    <w:rPr>
      <w:rFonts w:ascii="Times New Roman" w:hAnsi="Times New Roman" w:eastAsia="Times New Roman" w:cs="Times New Roman"/>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0;&#1053;&#1040;&#1051;&#1048;&#1047;%20&#1048;&#1057;&#1055;&#1054;&#1051;&#1053;&#1045;&#1053;&#1048;&#1071;%20&#1041;&#1070;&#1044;&#1046;&#1045;&#1058;&#1040;%20&#1047;&#1040;%20&#1050;&#1042;&#1040;&#1056;&#1058;&#1040;&#1051;,%20&#1047;&#1040;%206%20&#1052;&#1045;&#1057;&#1071;&#1062;&#1045;&#1042;,%20&#1047;&#1040;%209%20&#1052;&#1045;&#1057;&#1071;&#1062;&#1045;&#1042;\2024%20&#1075;&#1086;&#1076;\2%20&#1082;&#1074;&#1072;&#1088;&#1090;&#1072;&#1083;%202024%20&#1075;&#1086;&#1076;\&#1056;&#1072;&#1089;&#1095;&#1077;&#1090;&#1099;%20&#1087;&#1086;&#1083;&#1091;&#1075;&#1086;&#1076;&#1080;&#1077;%20%202024%20&#107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0;&#1053;&#1040;&#1051;&#1048;&#1047;%20&#1048;&#1057;&#1055;&#1054;&#1051;&#1053;&#1045;&#1053;&#1048;&#1071;%20&#1041;&#1070;&#1044;&#1046;&#1045;&#1058;&#1040;%20&#1047;&#1040;%20&#1050;&#1042;&#1040;&#1056;&#1058;&#1040;&#1051;,%20&#1047;&#1040;%206%20&#1052;&#1045;&#1057;&#1071;&#1062;&#1045;&#1042;,%20&#1047;&#1040;%209%20&#1052;&#1045;&#1057;&#1071;&#1062;&#1045;&#1042;\2024%20&#1075;&#1086;&#1076;\2%20&#1082;&#1074;&#1072;&#1088;&#1090;&#1072;&#1083;%202024%20&#1075;&#1086;&#1076;\&#1056;&#1072;&#1089;&#1095;&#1077;&#1090;&#1099;%20&#1087;&#1086;&#1083;&#1091;&#1075;&#1086;&#1076;&#1080;&#1077;%20%202024%20&#10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0;&#1053;&#1040;&#1051;&#1048;&#1047;%20&#1048;&#1057;&#1055;&#1054;&#1051;&#1053;&#1045;&#1053;&#1048;&#1071;%20&#1041;&#1070;&#1044;&#1046;&#1045;&#1058;&#1040;%20&#1047;&#1040;%20&#1050;&#1042;&#1040;&#1056;&#1058;&#1040;&#1051;,%20&#1047;&#1040;%206%20&#1052;&#1045;&#1057;&#1071;&#1062;&#1045;&#1042;,%20&#1047;&#1040;%209%20&#1052;&#1045;&#1057;&#1071;&#1062;&#1045;&#1042;\2024%20&#1075;&#1086;&#1076;\2%20&#1082;&#1074;&#1072;&#1088;&#1090;&#1072;&#1083;%202024%20&#1075;&#1086;&#1076;\&#1056;&#1072;&#1089;&#1095;&#1077;&#1090;&#1099;%20&#1087;&#1086;&#1083;&#1091;&#1075;&#1086;&#1076;&#1080;&#1077;%20%202024%20&#107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1047;&#1040;&#1050;&#1051;&#1070;&#1063;&#1045;&#1053;&#1048;&#1071;%20&#1040;&#1050;&#1058;&#1067;%20&#1055;&#1056;&#1054;&#1058;&#1054;&#1050;&#1054;&#1051;&#1067;%20&#1055;&#1056;&#1045;&#1044;&#1057;&#1058;&#1040;&#1042;&#1051;&#1045;&#1053;&#1048;&#1071;\1%20&#1047;&#1040;&#1050;&#1051;&#1070;&#1063;&#1045;&#1053;&#1048;&#1071;%20&#1056;&#1040;&#1049;&#1054;&#1053;\&#1040;&#1053;&#1040;&#1051;&#1048;&#1047;%20&#1048;&#1057;&#1055;&#1054;&#1051;&#1053;&#1045;&#1053;&#1048;&#1071;%20&#1041;&#1070;&#1044;&#1046;&#1045;&#1058;&#1040;%20&#1047;&#1040;%20&#1050;&#1042;&#1040;&#1056;&#1058;&#1040;&#1051;,%20&#1047;&#1040;%206%20&#1052;&#1045;&#1057;&#1071;&#1062;&#1045;&#1042;,%20&#1047;&#1040;%209%20&#1052;&#1045;&#1057;&#1071;&#1062;&#1045;&#1042;\2024%20&#1075;&#1086;&#1076;\2%20&#1082;&#1074;&#1072;&#1088;&#1090;&#1072;&#1083;%202024%20&#1075;&#1086;&#1076;\&#1056;&#1072;&#1089;&#1095;&#1077;&#1090;&#1099;%20&#1087;&#1086;&#1083;&#1091;&#1075;&#1086;&#1076;&#1080;&#1077;%20%202024%20&#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2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ru-RU" sz="1200">
                <a:latin typeface="Times New Roman" panose="02020603050405020304" charset="0"/>
                <a:ea typeface="Times New Roman" panose="02020603050405020304" charset="0"/>
                <a:cs typeface="Times New Roman" panose="02020603050405020304" charset="0"/>
                <a:sym typeface="Times New Roman" panose="02020603050405020304" charset="0"/>
              </a:rPr>
              <a:t>Структура налоговых поступлений </a:t>
            </a:r>
            <a:endParaRPr lang="ru-RU" sz="12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title>
    <c:autoTitleDeleted val="0"/>
    <c:plotArea>
      <c:layout/>
      <c:barChart>
        <c:barDir val="col"/>
        <c:grouping val="clustered"/>
        <c:varyColors val="0"/>
        <c:ser>
          <c:idx val="0"/>
          <c:order val="0"/>
          <c:tx>
            <c:strRef>
              <c:f>'[Расчеты полугодие  2024 г.xlsx]таблица 2'!$K$3</c:f>
              <c:strCache>
                <c:ptCount val="1"/>
                <c:pt idx="0">
                  <c:v>Сумма (тыс. руб.)</c:v>
                </c:pt>
              </c:strCache>
            </c:strRef>
          </c:tx>
          <c:invertIfNegative val="0"/>
          <c:dLbls>
            <c:delete val="1"/>
          </c:dLbls>
          <c:cat>
            <c:strRef>
              <c:f>'[Расчеты полугодие  2024 г.xlsx]таблица 2'!$J$4:$J$8</c:f>
              <c:strCache>
                <c:ptCount val="5"/>
                <c:pt idx="0">
                  <c:v>НДФЛ</c:v>
                </c:pt>
                <c:pt idx="1">
                  <c:v>Акцизы</c:v>
                </c:pt>
                <c:pt idx="2">
                  <c:v>Налоги на совокупный доход</c:v>
                </c:pt>
                <c:pt idx="3">
                  <c:v>Госпошлина</c:v>
                </c:pt>
                <c:pt idx="4">
                  <c:v>Задолженность и перерасчеты</c:v>
                </c:pt>
              </c:strCache>
            </c:strRef>
          </c:cat>
          <c:val>
            <c:numRef>
              <c:f>'[Расчеты полугодие  2024 г.xlsx]таблица 2'!$K$4:$K$8</c:f>
              <c:numCache>
                <c:formatCode>0.00</c:formatCode>
                <c:ptCount val="5"/>
                <c:pt idx="0">
                  <c:v>140716.46878</c:v>
                </c:pt>
                <c:pt idx="1">
                  <c:v>20039.06755</c:v>
                </c:pt>
                <c:pt idx="2">
                  <c:v>48051.60055</c:v>
                </c:pt>
                <c:pt idx="3">
                  <c:v>4647.91463</c:v>
                </c:pt>
                <c:pt idx="4">
                  <c:v>-8.871</c:v>
                </c:pt>
              </c:numCache>
            </c:numRef>
          </c:val>
        </c:ser>
        <c:dLbls>
          <c:showLegendKey val="0"/>
          <c:showVal val="0"/>
          <c:showCatName val="0"/>
          <c:showSerName val="0"/>
          <c:showPercent val="0"/>
          <c:showBubbleSize val="0"/>
        </c:dLbls>
        <c:gapWidth val="150"/>
        <c:axId val="341552544"/>
        <c:axId val="341551368"/>
      </c:barChart>
      <c:catAx>
        <c:axId val="3415525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1551368"/>
        <c:crosses val="autoZero"/>
        <c:auto val="1"/>
        <c:lblAlgn val="ctr"/>
        <c:lblOffset val="100"/>
        <c:noMultiLvlLbl val="0"/>
      </c:catAx>
      <c:valAx>
        <c:axId val="3415513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1552544"/>
        <c:crosses val="autoZero"/>
        <c:crossBetween val="between"/>
      </c:valAx>
    </c:plotArea>
    <c:legend>
      <c:legendPos val="r"/>
      <c:legendEntry>
        <c:idx val="0"/>
        <c:txPr>
          <a:bodyPr rot="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txPr>
        <a:bodyPr rot="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txPr>
    <a:bodyPr/>
    <a:lstStyle/>
    <a:p>
      <a:pPr>
        <a:defRPr lang="ru-RU" sz="10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1" i="0" u="none" strike="noStrike" kern="1200" baseline="0">
                <a:solidFill>
                  <a:schemeClr val="tx1">
                    <a:lumMod val="75000"/>
                    <a:lumOff val="25000"/>
                  </a:schemeClr>
                </a:solidFill>
                <a:latin typeface="+mn-lt"/>
                <a:ea typeface="+mn-ea"/>
                <a:cs typeface="+mn-cs"/>
              </a:defRPr>
            </a:pPr>
            <a:r>
              <a:rPr lang="ru-RU" sz="1100">
                <a:latin typeface="Times New Roman" panose="02020603050405020304" charset="0"/>
                <a:cs typeface="Times New Roman" panose="02020603050405020304" charset="0"/>
              </a:rPr>
              <a:t>Динамика налоговых поступлений за 2022-2024 гг.</a:t>
            </a:r>
            <a:endParaRPr lang="ru-RU" sz="1100">
              <a:latin typeface="Times New Roman" panose="02020603050405020304" charset="0"/>
              <a:cs typeface="Times New Roman" panose="02020603050405020304" charset="0"/>
            </a:endParaRPr>
          </a:p>
        </c:rich>
      </c:tx>
      <c:layout/>
      <c:overlay val="0"/>
      <c:spPr>
        <a:noFill/>
        <a:ln>
          <a:noFill/>
        </a:ln>
        <a:effectLst/>
      </c:spPr>
    </c:title>
    <c:autoTitleDeleted val="0"/>
    <c:plotArea>
      <c:layout>
        <c:manualLayout>
          <c:layoutTarget val="inner"/>
          <c:xMode val="edge"/>
          <c:yMode val="edge"/>
          <c:x val="0.112468247248095"/>
          <c:y val="0.2524893314367"/>
          <c:w val="0.866257408975444"/>
          <c:h val="0.514580369843528"/>
        </c:manualLayout>
      </c:layout>
      <c:barChart>
        <c:barDir val="col"/>
        <c:grouping val="clustered"/>
        <c:varyColors val="0"/>
        <c:ser>
          <c:idx val="0"/>
          <c:order val="0"/>
          <c:tx>
            <c:strRef>
              <c:f>'[Расчеты полугодие  2024 г.xlsx]таблица 2'!$B$65</c:f>
              <c:strCache>
                <c:ptCount val="1"/>
                <c:pt idx="0">
                  <c:v>2022</c:v>
                </c:pt>
              </c:strCache>
            </c:strRef>
          </c:tx>
          <c:spPr>
            <a:solidFill>
              <a:schemeClr val="accent1"/>
            </a:solidFill>
            <a:ln>
              <a:noFill/>
            </a:ln>
            <a:effectLst/>
          </c:spPr>
          <c:invertIfNegative val="0"/>
          <c:dLbls>
            <c:delete val="1"/>
          </c:dLbls>
          <c:cat>
            <c:strRef>
              <c:f>'[Расчеты полугодие  2024 г.xlsx]таблица 2'!$A$66:$A$69</c:f>
              <c:strCache>
                <c:ptCount val="4"/>
                <c:pt idx="0">
                  <c:v>УСН</c:v>
                </c:pt>
                <c:pt idx="1">
                  <c:v>ЕНВД</c:v>
                </c:pt>
                <c:pt idx="2">
                  <c:v>ЕСХН</c:v>
                </c:pt>
                <c:pt idx="3">
                  <c:v>Патент</c:v>
                </c:pt>
              </c:strCache>
            </c:strRef>
          </c:cat>
          <c:val>
            <c:numRef>
              <c:f>'[Расчеты полугодие  2024 г.xlsx]таблица 2'!$B$66:$B$69</c:f>
              <c:numCache>
                <c:formatCode>#\ ##0.00</c:formatCode>
                <c:ptCount val="4"/>
                <c:pt idx="0">
                  <c:v>22545.2492</c:v>
                </c:pt>
                <c:pt idx="1">
                  <c:v>-158.59067</c:v>
                </c:pt>
                <c:pt idx="2">
                  <c:v>1498.65803</c:v>
                </c:pt>
                <c:pt idx="3">
                  <c:v>7260.94503</c:v>
                </c:pt>
              </c:numCache>
            </c:numRef>
          </c:val>
        </c:ser>
        <c:ser>
          <c:idx val="1"/>
          <c:order val="1"/>
          <c:tx>
            <c:strRef>
              <c:f>'[Расчеты полугодие  2024 г.xlsx]таблица 2'!$C$65</c:f>
              <c:strCache>
                <c:ptCount val="1"/>
                <c:pt idx="0">
                  <c:v>2023</c:v>
                </c:pt>
              </c:strCache>
            </c:strRef>
          </c:tx>
          <c:spPr>
            <a:solidFill>
              <a:schemeClr val="accent2"/>
            </a:solidFill>
            <a:ln>
              <a:noFill/>
            </a:ln>
            <a:effectLst/>
          </c:spPr>
          <c:invertIfNegative val="0"/>
          <c:dLbls>
            <c:delete val="1"/>
          </c:dLbls>
          <c:cat>
            <c:strRef>
              <c:f>'[Расчеты полугодие  2024 г.xlsx]таблица 2'!$A$66:$A$69</c:f>
              <c:strCache>
                <c:ptCount val="4"/>
                <c:pt idx="0">
                  <c:v>УСН</c:v>
                </c:pt>
                <c:pt idx="1">
                  <c:v>ЕНВД</c:v>
                </c:pt>
                <c:pt idx="2">
                  <c:v>ЕСХН</c:v>
                </c:pt>
                <c:pt idx="3">
                  <c:v>Патент</c:v>
                </c:pt>
              </c:strCache>
            </c:strRef>
          </c:cat>
          <c:val>
            <c:numRef>
              <c:f>'[Расчеты полугодие  2024 г.xlsx]таблица 2'!$C$66:$C$69</c:f>
              <c:numCache>
                <c:formatCode>General</c:formatCode>
                <c:ptCount val="4"/>
                <c:pt idx="0">
                  <c:v>23616.02288</c:v>
                </c:pt>
                <c:pt idx="1">
                  <c:v>-188.70682</c:v>
                </c:pt>
                <c:pt idx="2">
                  <c:v>2563.37966</c:v>
                </c:pt>
                <c:pt idx="3">
                  <c:v>7994.98206</c:v>
                </c:pt>
              </c:numCache>
            </c:numRef>
          </c:val>
        </c:ser>
        <c:ser>
          <c:idx val="2"/>
          <c:order val="2"/>
          <c:tx>
            <c:strRef>
              <c:f>'[Расчеты полугодие  2024 г.xlsx]таблица 2'!$D$65</c:f>
              <c:strCache>
                <c:ptCount val="1"/>
                <c:pt idx="0">
                  <c:v>2024</c:v>
                </c:pt>
              </c:strCache>
            </c:strRef>
          </c:tx>
          <c:spPr>
            <a:solidFill>
              <a:schemeClr val="accent3"/>
            </a:solidFill>
            <a:ln>
              <a:noFill/>
            </a:ln>
            <a:effectLst/>
          </c:spPr>
          <c:invertIfNegative val="0"/>
          <c:dLbls>
            <c:delete val="1"/>
          </c:dLbls>
          <c:cat>
            <c:strRef>
              <c:f>'[Расчеты полугодие  2024 г.xlsx]таблица 2'!$A$66:$A$69</c:f>
              <c:strCache>
                <c:ptCount val="4"/>
                <c:pt idx="0">
                  <c:v>УСН</c:v>
                </c:pt>
                <c:pt idx="1">
                  <c:v>ЕНВД</c:v>
                </c:pt>
                <c:pt idx="2">
                  <c:v>ЕСХН</c:v>
                </c:pt>
                <c:pt idx="3">
                  <c:v>Патент</c:v>
                </c:pt>
              </c:strCache>
            </c:strRef>
          </c:cat>
          <c:val>
            <c:numRef>
              <c:f>'[Расчеты полугодие  2024 г.xlsx]таблица 2'!$D$66:$D$69</c:f>
              <c:numCache>
                <c:formatCode>#\ ##0.00</c:formatCode>
                <c:ptCount val="4"/>
                <c:pt idx="0">
                  <c:v>31881.4943</c:v>
                </c:pt>
                <c:pt idx="1">
                  <c:v>64.19367</c:v>
                </c:pt>
                <c:pt idx="2">
                  <c:v>3222.28784</c:v>
                </c:pt>
                <c:pt idx="3">
                  <c:v>12883.62474</c:v>
                </c:pt>
              </c:numCache>
            </c:numRef>
          </c:val>
        </c:ser>
        <c:dLbls>
          <c:showLegendKey val="0"/>
          <c:showVal val="0"/>
          <c:showCatName val="0"/>
          <c:showSerName val="0"/>
          <c:showPercent val="0"/>
          <c:showBubbleSize val="0"/>
        </c:dLbls>
        <c:gapWidth val="246"/>
        <c:overlap val="-28"/>
        <c:axId val="341554504"/>
        <c:axId val="341547448"/>
      </c:barChart>
      <c:catAx>
        <c:axId val="3415545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1547448"/>
        <c:crosses val="autoZero"/>
        <c:auto val="1"/>
        <c:lblAlgn val="ctr"/>
        <c:lblOffset val="100"/>
        <c:noMultiLvlLbl val="0"/>
      </c:catAx>
      <c:valAx>
        <c:axId val="341547448"/>
        <c:scaling>
          <c:orientation val="minMax"/>
        </c:scaling>
        <c:delete val="0"/>
        <c:axPos val="l"/>
        <c:majorGridlines>
          <c:spPr>
            <a:ln w="9525" cap="flat" cmpd="sng" algn="ctr">
              <a:solidFill>
                <a:schemeClr val="lt1">
                  <a:lumMod val="90200"/>
                </a:schemeClr>
              </a:solidFill>
              <a:round/>
            </a:ln>
            <a:effectLst/>
          </c:spPr>
        </c:majorGridlines>
        <c:numFmt formatCode="#\ ##0.00"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15545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ru-RU" sz="1100" b="1" i="0" u="none" strike="noStrike" kern="1200" baseline="0">
                <a:solidFill>
                  <a:schemeClr val="tx1"/>
                </a:solidFill>
                <a:latin typeface="Times New Roman" panose="02020603050405020304" charset="0"/>
                <a:ea typeface="+mn-ea"/>
                <a:cs typeface="Times New Roman" panose="02020603050405020304" charset="0"/>
              </a:defRPr>
            </a:pPr>
            <a:r>
              <a:rPr lang="ru-RU" sz="1100" baseline="0">
                <a:latin typeface="Times New Roman" panose="02020603050405020304" charset="0"/>
                <a:cs typeface="Times New Roman" panose="02020603050405020304" charset="0"/>
              </a:rPr>
              <a:t>Структура неналоговых поступлений </a:t>
            </a:r>
            <a:endParaRPr lang="ru-RU" sz="1100" baseline="0">
              <a:latin typeface="Times New Roman" panose="02020603050405020304" charset="0"/>
              <a:cs typeface="Times New Roman" panose="02020603050405020304" charset="0"/>
            </a:endParaRPr>
          </a:p>
        </c:rich>
      </c:tx>
      <c:layout>
        <c:manualLayout>
          <c:xMode val="edge"/>
          <c:yMode val="edge"/>
          <c:x val="0.216388888888889"/>
          <c:y val="0.0173385325266774"/>
        </c:manualLayout>
      </c:layout>
      <c:overlay val="0"/>
    </c:title>
    <c:autoTitleDeleted val="0"/>
    <c:plotArea>
      <c:layout/>
      <c:barChart>
        <c:barDir val="bar"/>
        <c:grouping val="clustered"/>
        <c:varyColors val="0"/>
        <c:ser>
          <c:idx val="0"/>
          <c:order val="0"/>
          <c:tx>
            <c:strRef>
              <c:f>'[Расчеты полугодие  2024 г.xlsx]таблица 2'!$B$35</c:f>
              <c:strCache>
                <c:ptCount val="1"/>
                <c:pt idx="0">
                  <c:v>(тыс. руб.)</c:v>
                </c:pt>
              </c:strCache>
            </c:strRef>
          </c:tx>
          <c:invertIfNegative val="0"/>
          <c:dLbls>
            <c:delete val="1"/>
          </c:dLbls>
          <c:cat>
            <c:strRef>
              <c:f>'[Расчеты полугодие  2024 г.xlsx]таблица 2'!$A$36:$A$41</c:f>
              <c:strCache>
                <c:ptCount val="6"/>
                <c:pt idx="0">
                  <c:v>Доходы от использования имущества</c:v>
                </c:pt>
                <c:pt idx="1">
                  <c:v>Платежи при пользовании природными ресурсами</c:v>
                </c:pt>
                <c:pt idx="2">
                  <c:v>Доходы от оказания платных услуг</c:v>
                </c:pt>
                <c:pt idx="3">
                  <c:v>Доходы от продажи материальных и нематериальных активов</c:v>
                </c:pt>
                <c:pt idx="4">
                  <c:v>Штрафы и др.</c:v>
                </c:pt>
                <c:pt idx="5">
                  <c:v>Прочие неналоговые доходы</c:v>
                </c:pt>
              </c:strCache>
            </c:strRef>
          </c:cat>
          <c:val>
            <c:numRef>
              <c:f>'[Расчеты полугодие  2024 г.xlsx]таблица 2'!$B$36:$B$41</c:f>
              <c:numCache>
                <c:formatCode>0</c:formatCode>
                <c:ptCount val="6"/>
                <c:pt idx="0">
                  <c:v>10709.44516</c:v>
                </c:pt>
                <c:pt idx="1">
                  <c:v>317.78702</c:v>
                </c:pt>
                <c:pt idx="2">
                  <c:v>29912.15136</c:v>
                </c:pt>
                <c:pt idx="3">
                  <c:v>1097.1691</c:v>
                </c:pt>
                <c:pt idx="4">
                  <c:v>2218.5252</c:v>
                </c:pt>
                <c:pt idx="5">
                  <c:v>348.33694</c:v>
                </c:pt>
              </c:numCache>
            </c:numRef>
          </c:val>
        </c:ser>
        <c:dLbls>
          <c:showLegendKey val="0"/>
          <c:showVal val="0"/>
          <c:showCatName val="0"/>
          <c:showSerName val="0"/>
          <c:showPercent val="0"/>
          <c:showBubbleSize val="0"/>
        </c:dLbls>
        <c:gapWidth val="150"/>
        <c:axId val="341547840"/>
        <c:axId val="341548232"/>
      </c:barChart>
      <c:catAx>
        <c:axId val="341547840"/>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crossAx val="341548232"/>
        <c:crosses val="autoZero"/>
        <c:auto val="1"/>
        <c:lblAlgn val="ctr"/>
        <c:lblOffset val="100"/>
        <c:noMultiLvlLbl val="0"/>
      </c:catAx>
      <c:valAx>
        <c:axId val="341548232"/>
        <c:scaling>
          <c:orientation val="minMax"/>
        </c:scaling>
        <c:delete val="0"/>
        <c:axPos val="b"/>
        <c:majorGridlines/>
        <c:numFmt formatCode="0" sourceLinked="1"/>
        <c:majorTickMark val="out"/>
        <c:minorTickMark val="none"/>
        <c:tickLblPos val="nextTo"/>
        <c:txPr>
          <a:bodyPr rot="-60000000" spcFirstLastPara="0" vertOverflow="ellipsis" vert="horz" wrap="square" anchor="ctr" anchorCtr="1"/>
          <a:lstStyle/>
          <a:p>
            <a:pPr>
              <a:defRPr lang="ru-RU" sz="700" b="0" i="0" u="none" strike="noStrike" kern="1200" baseline="0">
                <a:solidFill>
                  <a:schemeClr val="tx1"/>
                </a:solidFill>
                <a:latin typeface="Times New Roman" panose="02020603050405020304" charset="0"/>
                <a:ea typeface="+mn-ea"/>
                <a:cs typeface="Times New Roman" panose="02020603050405020304" charset="0"/>
              </a:defRPr>
            </a:pPr>
          </a:p>
        </c:txPr>
        <c:crossAx val="341547840"/>
        <c:crosses val="autoZero"/>
        <c:crossBetween val="between"/>
      </c:valAx>
    </c:plotArea>
    <c:legend>
      <c:legendPos val="r"/>
      <c:layout/>
      <c:overlay val="0"/>
      <c:txPr>
        <a:bodyPr rot="0" spcFirstLastPara="0" vertOverflow="ellipsis" vert="horz" wrap="square" anchor="ctr" anchorCtr="1"/>
        <a:lstStyle/>
        <a:p>
          <a:pPr>
            <a:defRPr lang="ru-RU"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1" i="0" u="none" strike="noStrike" kern="1200" baseline="0">
                <a:solidFill>
                  <a:schemeClr val="tx1">
                    <a:lumMod val="75000"/>
                    <a:lumOff val="25000"/>
                  </a:schemeClr>
                </a:solidFill>
                <a:latin typeface="+mn-lt"/>
                <a:ea typeface="+mn-ea"/>
                <a:cs typeface="+mn-cs"/>
              </a:defRPr>
            </a:pPr>
            <a:r>
              <a:rPr lang="ru-RU" sz="1100">
                <a:latin typeface="Times New Roman" panose="02020603050405020304" charset="0"/>
                <a:cs typeface="Times New Roman" panose="02020603050405020304" charset="0"/>
              </a:rPr>
              <a:t>Динамика неналоговых поступлений за 2022-2024 гг. </a:t>
            </a:r>
            <a:endParaRPr lang="ru-RU" sz="1100">
              <a:latin typeface="Times New Roman" panose="02020603050405020304" charset="0"/>
              <a:cs typeface="Times New Roman" panose="02020603050405020304" charset="0"/>
            </a:endParaRPr>
          </a:p>
          <a:p>
            <a:pPr defTabSz="914400">
              <a:defRPr lang="ru-RU" sz="1400" b="1" i="0" u="none" strike="noStrike" kern="1200" baseline="0">
                <a:solidFill>
                  <a:schemeClr val="tx1">
                    <a:lumMod val="75000"/>
                    <a:lumOff val="25000"/>
                  </a:schemeClr>
                </a:solidFill>
                <a:latin typeface="+mn-lt"/>
                <a:ea typeface="+mn-ea"/>
                <a:cs typeface="+mn-cs"/>
              </a:defRPr>
            </a:pPr>
            <a:r>
              <a:rPr lang="ru-RU" sz="1100">
                <a:latin typeface="Times New Roman" panose="02020603050405020304" charset="0"/>
                <a:cs typeface="Times New Roman" panose="02020603050405020304" charset="0"/>
              </a:rPr>
              <a:t>(тыс. руб.)</a:t>
            </a:r>
            <a:endParaRPr lang="ru-RU" sz="1100">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'[Расчеты полугодие  2024 г.xlsx]таблица 2'!$A$74</c:f>
              <c:strCache>
                <c:ptCount val="1"/>
                <c:pt idx="0">
                  <c:v>Доходы от использования имущества</c:v>
                </c:pt>
              </c:strCache>
            </c:strRef>
          </c:tx>
          <c:spPr>
            <a:solidFill>
              <a:schemeClr val="accent1"/>
            </a:solidFill>
            <a:ln>
              <a:noFill/>
            </a:ln>
            <a:effectLst/>
          </c:spPr>
          <c:invertIfNegative val="0"/>
          <c:dLbls>
            <c:delete val="1"/>
          </c:dLbls>
          <c:cat>
            <c:numRef>
              <c:f>'[Расчеты полугодие  2024 г.xlsx]таблица 2'!$B$73:$D$73</c:f>
              <c:numCache>
                <c:formatCode>General</c:formatCode>
                <c:ptCount val="3"/>
                <c:pt idx="0">
                  <c:v>2022</c:v>
                </c:pt>
                <c:pt idx="1">
                  <c:v>2023</c:v>
                </c:pt>
                <c:pt idx="2">
                  <c:v>2024</c:v>
                </c:pt>
              </c:numCache>
            </c:numRef>
          </c:cat>
          <c:val>
            <c:numRef>
              <c:f>'[Расчеты полугодие  2024 г.xlsx]таблица 2'!$B$74:$D$74</c:f>
              <c:numCache>
                <c:formatCode>General</c:formatCode>
                <c:ptCount val="3"/>
                <c:pt idx="0">
                  <c:v>10708.64</c:v>
                </c:pt>
                <c:pt idx="1" c:formatCode="#\ ##0.00">
                  <c:v>12556.35662</c:v>
                </c:pt>
                <c:pt idx="2" c:formatCode="#\ ##0.00">
                  <c:v>10709.44516</c:v>
                </c:pt>
              </c:numCache>
            </c:numRef>
          </c:val>
        </c:ser>
        <c:ser>
          <c:idx val="1"/>
          <c:order val="1"/>
          <c:tx>
            <c:strRef>
              <c:f>'[Расчеты полугодие  2024 г.xlsx]таблица 2'!$A$75</c:f>
              <c:strCache>
                <c:ptCount val="1"/>
                <c:pt idx="0">
                  <c:v>Доходы от оказания платных услуг</c:v>
                </c:pt>
              </c:strCache>
            </c:strRef>
          </c:tx>
          <c:spPr>
            <a:solidFill>
              <a:schemeClr val="accent2"/>
            </a:solidFill>
            <a:ln>
              <a:noFill/>
            </a:ln>
            <a:effectLst/>
          </c:spPr>
          <c:invertIfNegative val="0"/>
          <c:dLbls>
            <c:delete val="1"/>
          </c:dLbls>
          <c:cat>
            <c:numRef>
              <c:f>'[Расчеты полугодие  2024 г.xlsx]таблица 2'!$B$73:$D$73</c:f>
              <c:numCache>
                <c:formatCode>General</c:formatCode>
                <c:ptCount val="3"/>
                <c:pt idx="0">
                  <c:v>2022</c:v>
                </c:pt>
                <c:pt idx="1">
                  <c:v>2023</c:v>
                </c:pt>
                <c:pt idx="2">
                  <c:v>2024</c:v>
                </c:pt>
              </c:numCache>
            </c:numRef>
          </c:cat>
          <c:val>
            <c:numRef>
              <c:f>'[Расчеты полугодие  2024 г.xlsx]таблица 2'!$B$75:$D$75</c:f>
              <c:numCache>
                <c:formatCode>General</c:formatCode>
                <c:ptCount val="3"/>
                <c:pt idx="0">
                  <c:v>22246.37</c:v>
                </c:pt>
                <c:pt idx="1" c:formatCode="#\ ##0.00">
                  <c:v>25601.22861</c:v>
                </c:pt>
                <c:pt idx="2" c:formatCode="#\ ##0.00">
                  <c:v>29912.15136</c:v>
                </c:pt>
              </c:numCache>
            </c:numRef>
          </c:val>
        </c:ser>
        <c:ser>
          <c:idx val="2"/>
          <c:order val="2"/>
          <c:tx>
            <c:strRef>
              <c:f>'[Расчеты полугодие  2024 г.xlsx]таблица 2'!$A$76</c:f>
              <c:strCache>
                <c:ptCount val="1"/>
                <c:pt idx="0">
                  <c:v>Доходы от продажи материальных и нематериальных активов</c:v>
                </c:pt>
              </c:strCache>
            </c:strRef>
          </c:tx>
          <c:spPr>
            <a:solidFill>
              <a:schemeClr val="accent3"/>
            </a:solidFill>
            <a:ln>
              <a:noFill/>
            </a:ln>
            <a:effectLst/>
          </c:spPr>
          <c:invertIfNegative val="0"/>
          <c:dLbls>
            <c:delete val="1"/>
          </c:dLbls>
          <c:cat>
            <c:numRef>
              <c:f>'[Расчеты полугодие  2024 г.xlsx]таблица 2'!$B$73:$D$73</c:f>
              <c:numCache>
                <c:formatCode>General</c:formatCode>
                <c:ptCount val="3"/>
                <c:pt idx="0">
                  <c:v>2022</c:v>
                </c:pt>
                <c:pt idx="1">
                  <c:v>2023</c:v>
                </c:pt>
                <c:pt idx="2">
                  <c:v>2024</c:v>
                </c:pt>
              </c:numCache>
            </c:numRef>
          </c:cat>
          <c:val>
            <c:numRef>
              <c:f>'[Расчеты полугодие  2024 г.xlsx]таблица 2'!$B$76:$D$76</c:f>
              <c:numCache>
                <c:formatCode>General</c:formatCode>
                <c:ptCount val="3"/>
                <c:pt idx="0">
                  <c:v>9386.93</c:v>
                </c:pt>
                <c:pt idx="1" c:formatCode="#\ ##0.00">
                  <c:v>4483.29463</c:v>
                </c:pt>
                <c:pt idx="2" c:formatCode="#\ ##0.00">
                  <c:v>1097.1691</c:v>
                </c:pt>
              </c:numCache>
            </c:numRef>
          </c:val>
        </c:ser>
        <c:dLbls>
          <c:showLegendKey val="0"/>
          <c:showVal val="0"/>
          <c:showCatName val="0"/>
          <c:showSerName val="0"/>
          <c:showPercent val="0"/>
          <c:showBubbleSize val="0"/>
        </c:dLbls>
        <c:gapWidth val="246"/>
        <c:overlap val="-28"/>
        <c:axId val="341550192"/>
        <c:axId val="341550584"/>
      </c:barChart>
      <c:catAx>
        <c:axId val="341550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1550584"/>
        <c:crosses val="autoZero"/>
        <c:auto val="1"/>
        <c:lblAlgn val="ctr"/>
        <c:lblOffset val="100"/>
        <c:noMultiLvlLbl val="0"/>
      </c:catAx>
      <c:valAx>
        <c:axId val="34155058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155019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165065789473684"/>
          <c:y val="0.676347208777025"/>
        </c:manualLayout>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8F49-8962-4808-9703-657FDF5FF808}">
  <ds:schemaRefs/>
</ds:datastoreItem>
</file>

<file path=docProps/app.xml><?xml version="1.0" encoding="utf-8"?>
<Properties xmlns="http://schemas.openxmlformats.org/officeDocument/2006/extended-properties" xmlns:vt="http://schemas.openxmlformats.org/officeDocument/2006/docPropsVTypes">
  <Template>Normal</Template>
  <Pages>11</Pages>
  <Words>3819</Words>
  <Characters>21770</Characters>
  <Lines>181</Lines>
  <Paragraphs>51</Paragraphs>
  <TotalTime>54</TotalTime>
  <ScaleCrop>false</ScaleCrop>
  <LinksUpToDate>false</LinksUpToDate>
  <CharactersWithSpaces>25538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2015-08-12T08:38:00Z</dcterms:created>
  <dc:creator>Светлана Цапко</dc:creator>
  <cp:lastModifiedBy>WPS_1698754307</cp:lastModifiedBy>
  <cp:lastPrinted>2024-07-25T05:20:11Z</cp:lastPrinted>
  <dcterms:modified xsi:type="dcterms:W3CDTF">2024-07-25T05:21:35Z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41E38629EA06426390E52B9D6ECBCC4F</vt:lpwstr>
  </property>
</Properties>
</file>