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КОНТРОЛЬНО - СЧЕТНАЯ ПАЛАТА МУНИЦИПАЛЬНОГО ОБРАЗОВАНИЯ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«АХТУБИНСКИЙ РАЙОН»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Волгоградская ул., д.141, г. Ахтубинск, Астраханской обл.,416500, Тел./факс (8-85141) 4-04-24 / , (8-85141) 4-04-15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ОКПО 78317643, ОГРН 1063022000282, ИНН/КПП 3001040259/300101001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thinThickSmallGap" w:color="auto" w:sz="2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right="-144" w:firstLine="113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ЗАКЛЮЧЕНИЕ</w:t>
      </w:r>
    </w:p>
    <w:p>
      <w:pPr>
        <w:spacing w:after="0" w:line="240" w:lineRule="auto"/>
        <w:ind w:right="-144" w:firstLine="113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результатам внешней проверки годовой бюджетной отчётности</w:t>
      </w:r>
    </w:p>
    <w:p>
      <w:pPr>
        <w:spacing w:after="0" w:line="240" w:lineRule="auto"/>
        <w:ind w:right="-14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главного администратора бюджетных средств МО «Ахтубинский район» -</w:t>
      </w:r>
    </w:p>
    <w:p>
      <w:pPr>
        <w:spacing w:after="0" w:line="240" w:lineRule="auto"/>
        <w:ind w:right="-1" w:firstLine="113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Управления сельского хозяйства администрации</w:t>
      </w:r>
    </w:p>
    <w:p>
      <w:pPr>
        <w:spacing w:after="0" w:line="240" w:lineRule="auto"/>
        <w:ind w:right="-144" w:firstLine="113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МО «Ахтубинский район» за 2022 год</w:t>
      </w:r>
    </w:p>
    <w:p>
      <w:pPr>
        <w:spacing w:after="0" w:line="240" w:lineRule="auto"/>
        <w:ind w:left="567" w:right="-144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right="282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14.04.2023 г.                                                                                                           № З-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/2023</w:t>
      </w:r>
    </w:p>
    <w:p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Основание для проведения проверки: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Статья 264.4 Бюджетного кодекса Российской Федерации и План работы Контрольно-счетной палаты муниципального образования «Ахтубинский район» на 2023 год.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Ответственные должностные лица, подписавшие отчётность: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Руководитель – Татаринов В.В.;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Заведующий сектором финансово - экономической деятельности и бухгалтерского учёта – Федянина О.А.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Предметом внешней проверки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является годовая бюджетная отчётность главных администраторов бюджетных средств – ГАБС (главные администраторы доходов бюджета, главные распорядители бюджетных средств, главные администраторы источников финансирования дефицита бюджета).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Целью проведения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внешней проверки являются:</w:t>
      </w:r>
    </w:p>
    <w:p>
      <w:pPr>
        <w:pStyle w:val="15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установление полноты бюджетной отчётности главных администраторов средств районного бюджета;</w:t>
      </w:r>
    </w:p>
    <w:p>
      <w:pPr>
        <w:pStyle w:val="15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оценка достоверности показателей бюджетной отчётности главных администраторов средств районного бюджета;</w:t>
      </w:r>
    </w:p>
    <w:p>
      <w:pPr>
        <w:pStyle w:val="15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проверка на соответствие порядку ведения бюджетного учёта, законодательству Российской Федерации, Астраханской области, муниципальным правовым актам Ахтубинского района;</w:t>
      </w:r>
    </w:p>
    <w:p>
      <w:pPr>
        <w:pStyle w:val="15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анализ эффективности и результативности использования бюджетных средств.</w:t>
      </w:r>
    </w:p>
    <w:p>
      <w:pPr>
        <w:pStyle w:val="1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</w:p>
    <w:p>
      <w:pPr>
        <w:pStyle w:val="15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Заключение подготовлено на основании камеральной проверки годовой бюджетной отчётности главного администратора бюджетных средств МО «Ахтубинский район» за 2022 год, проведённой в соответствии с:</w:t>
      </w:r>
    </w:p>
    <w:p>
      <w:pPr>
        <w:pStyle w:val="15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Бюджетным кодексом Российской Федерации (далее – БК РФ);</w:t>
      </w:r>
    </w:p>
    <w:p>
      <w:pPr>
        <w:pStyle w:val="15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Порядком осуществления внешней проверки годового отчёта об исполнении бюджета муниципального образования «Ахтубинский район», утверждённым Решением Совета МО «Ахтубинский район» от 16.03.2017г №295 (далее –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16.03.2017 №295); </w:t>
      </w:r>
    </w:p>
    <w:p>
      <w:pPr>
        <w:pStyle w:val="15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Приказом Минфина России от 28.12.2010 №191н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- Инструкция №191н);</w:t>
      </w:r>
    </w:p>
    <w:p>
      <w:pPr>
        <w:pStyle w:val="15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Приказом Минфина России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№157н);</w:t>
      </w:r>
    </w:p>
    <w:p>
      <w:pPr>
        <w:pStyle w:val="15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Приказом Минфина от 13.06.1995 №49 «Об утверждении Методических указаний по инвентаризации имущества и финансовых обязательств» (далее - Методические указания №49);</w:t>
      </w:r>
    </w:p>
    <w:p>
      <w:pPr>
        <w:pStyle w:val="15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Приказом Минфина России от 06.12.2010 №162н «Об утверждении Плана счетов бюджетного учёта и Инструкции по его применению» (далее – Инструкция №162н);</w:t>
      </w:r>
    </w:p>
    <w:p>
      <w:pPr>
        <w:pStyle w:val="15"/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Приказом Минфина России от 29.11.2017 № 209н «Об утверждении Порядка применения классификации операций сектора государственного управления» (далее - Порядок №209н).</w:t>
      </w:r>
    </w:p>
    <w:p>
      <w:pPr>
        <w:pStyle w:val="15"/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12"/>
          <w:szCs w:val="12"/>
          <w:lang w:eastAsia="ru-RU"/>
        </w:rPr>
      </w:pPr>
    </w:p>
    <w:p>
      <w:pPr>
        <w:suppressAutoHyphens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Общие сведения.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Полное наименование: Управление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сельского хозяйства администрации МО «Ахтубинский район»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(далее - Управление сельского хозяйства).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Местонахождение объекта контроля и его юридический адрес: </w:t>
      </w:r>
      <w:r>
        <w:rPr>
          <w:rFonts w:ascii="Times New Roman" w:hAnsi="Times New Roman" w:eastAsia="Times New Roman"/>
          <w:sz w:val="24"/>
          <w:szCs w:val="24"/>
          <w:lang w:eastAsia="zh-CN"/>
        </w:rPr>
        <w:t>416500 Россия, Астраханская область, г. Ахтубинск, ул. Волгоградская, 141.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Контактная информация: телефон/факс: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(85141) 4-04-46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Официальная эл. почта: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ahtubinskucx@mail.ru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ИНН/КПП: 3001001556/ 300101001.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Подведомственных учреждений не имеет.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Управлению сельского хозяйства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открыты лицевые счета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Территориальном отделе № 9 Управления Федерального казначейства по Астраханской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действующие в проверяемом периоде и на момент проверки:</w:t>
      </w:r>
    </w:p>
    <w:tbl>
      <w:tblPr>
        <w:tblStyle w:val="4"/>
        <w:tblW w:w="93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52"/>
        <w:gridCol w:w="7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п/п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Номер лицевого счета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Назначение счета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03</w:t>
            </w:r>
            <w:r>
              <w:rPr>
                <w:rFonts w:ascii="Times New Roman" w:hAnsi="Times New Roman" w:eastAsia="Calibri" w:cs="Times New Roman"/>
                <w:bCs/>
              </w:rPr>
              <w:t>253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bCs/>
              </w:rPr>
              <w:t>03980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счёт ПБС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hAnsi="Times New Roman" w:eastAsia="Calibri" w:cs="Times New Roman"/>
                <w:bCs/>
              </w:rPr>
              <w:t>253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bCs/>
              </w:rPr>
              <w:t>03980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счёт для учёта операций со средствами, поступающими во временное распоряжение получателя бюджетных средств</w:t>
            </w:r>
          </w:p>
        </w:tc>
      </w:tr>
    </w:tbl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Ответственными должностными лицами за финансово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хозяйственную деятельность Управления сельского хозяйства в проверяемом периоде являлись с правом:</w:t>
      </w:r>
    </w:p>
    <w:p>
      <w:pPr>
        <w:pStyle w:val="10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>первой подписи:</w:t>
      </w:r>
    </w:p>
    <w:p>
      <w:pPr>
        <w:pStyle w:val="10"/>
        <w:spacing w:before="0" w:beforeAutospacing="0" w:afterAutospacing="0"/>
        <w:jc w:val="both"/>
      </w:pPr>
      <w:r>
        <w:t>- Начальник управления сельского хозяйства администрации муниципального образования «Ахтубинский район» - Татаринов Виктор Васильевич, назначен на должность с 09.06.2021 г. по настоящее время (распоряжение администрации МО «Ахтубинский район» от 09.06.2021 г. № 104 л/с);</w:t>
      </w:r>
    </w:p>
    <w:p>
      <w:pPr>
        <w:pStyle w:val="10"/>
        <w:spacing w:before="0" w:beforeAutospacing="0" w:afterAutospacing="0"/>
        <w:jc w:val="both"/>
      </w:pPr>
      <w:r>
        <w:t xml:space="preserve">- Заместитель начальника - начальник финансово - экономического отдела - Чернухина Ольга Викторовна, назначена на должность 18.06.2019 г. по настоящее время (приказ Управления сельского хозяйства от 18.06.2019 г. №27); </w:t>
      </w:r>
    </w:p>
    <w:p>
      <w:pPr>
        <w:pStyle w:val="10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>второй подписи:</w:t>
      </w:r>
    </w:p>
    <w:p>
      <w:pPr>
        <w:pStyle w:val="10"/>
        <w:spacing w:before="0" w:beforeAutospacing="0" w:afterAutospacing="0"/>
        <w:jc w:val="both"/>
      </w:pPr>
      <w:r>
        <w:t>- Заведующий сектором финансово - экономической деятельности и бухгалтерского учёта - Федянина Ольга Александровна, назначена на должность с 01.01.2013 г. по настоящее время (приказ Управления сельского хозяйства от 28.12.2012 г. №44).</w:t>
      </w:r>
    </w:p>
    <w:p>
      <w:pPr>
        <w:pStyle w:val="10"/>
        <w:spacing w:before="0" w:beforeAutospacing="0" w:after="0" w:afterAutospacing="0"/>
        <w:ind w:firstLine="709"/>
        <w:jc w:val="both"/>
      </w:pPr>
      <w:r>
        <w:t>Учётная политика утверждена приказом от 29.12.2021 №32 «Об утверждении учётной политики на 2022 год».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Годовая отчётность Управления сельского хозяйства за 2022 год сформирована на 01.01.2023 г. и представлена в финансовый орган до 20.01.2023 г., что соответствует сроку, установленному приказом Финансового управления администрации МО «Ахтубинский район» от 12.12.2022 г. № 130-С.</w:t>
      </w:r>
    </w:p>
    <w:p>
      <w:pPr>
        <w:pStyle w:val="10"/>
        <w:spacing w:before="0" w:beforeAutospacing="0" w:after="0" w:afterAutospacing="0"/>
        <w:ind w:firstLine="709"/>
        <w:jc w:val="both"/>
        <w:rPr>
          <w:lang w:eastAsia="zh-CN"/>
        </w:rPr>
      </w:pPr>
      <w:r>
        <w:rPr>
          <w:lang w:eastAsia="zh-CN"/>
        </w:rPr>
        <w:t>Согласно Порядку от 16.03.2017 № 295 для ГРБС установлен срок представления годовой отчётности за 2022 год – 20.03.2023г.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Бюджетная отчётность за 2022 год направлена в адрес Контрольно-счетной палаты МО «Ахтубинский район» в соответствии с установленными сроками (статья 264.4 БК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РФ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), (письмо Управления сельского хозяйства от 20.03.2023 г. № 38).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Проверка комплектности, соответствия и полноты информации бюджетной отчётности проведена в соответствии с требованиями Инструкции от 28.12.2010 № 191н. </w:t>
      </w:r>
    </w:p>
    <w:p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</w:p>
    <w:p>
      <w:pPr>
        <w:pStyle w:val="15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годовой бюджетной отчётности.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п.11.1, п.59.1, п.70.1 Инструкции №191н представлена следующая бюджетная отчётность: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832"/>
        <w:gridCol w:w="135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3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ф.0503130</w:t>
            </w:r>
          </w:p>
        </w:tc>
        <w:tc>
          <w:tcPr>
            <w:tcW w:w="1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консолидируемым расчётам</w:t>
            </w:r>
          </w:p>
        </w:tc>
        <w:tc>
          <w:tcPr>
            <w:tcW w:w="13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ф.0503125</w:t>
            </w:r>
          </w:p>
        </w:tc>
        <w:tc>
          <w:tcPr>
            <w:tcW w:w="1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нулевое значение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заключению счетов бюджетного учёта отчётного финансового года</w:t>
            </w:r>
          </w:p>
        </w:tc>
        <w:tc>
          <w:tcPr>
            <w:tcW w:w="13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ф.0503110</w:t>
            </w:r>
          </w:p>
        </w:tc>
        <w:tc>
          <w:tcPr>
            <w:tcW w:w="1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(ГРБС)</w:t>
            </w:r>
          </w:p>
        </w:tc>
        <w:tc>
          <w:tcPr>
            <w:tcW w:w="13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  <w:tc>
          <w:tcPr>
            <w:tcW w:w="1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(ПБС)</w:t>
            </w:r>
          </w:p>
        </w:tc>
        <w:tc>
          <w:tcPr>
            <w:tcW w:w="13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  <w:tc>
          <w:tcPr>
            <w:tcW w:w="1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бюджетных обязательствах (ГРБС)</w:t>
            </w:r>
          </w:p>
        </w:tc>
        <w:tc>
          <w:tcPr>
            <w:tcW w:w="13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  <w:tc>
          <w:tcPr>
            <w:tcW w:w="1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бюджетных обязательствах (ПБС)</w:t>
            </w:r>
          </w:p>
        </w:tc>
        <w:tc>
          <w:tcPr>
            <w:tcW w:w="13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  <w:tc>
          <w:tcPr>
            <w:tcW w:w="1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финансовых результатах деятельности</w:t>
            </w:r>
          </w:p>
        </w:tc>
        <w:tc>
          <w:tcPr>
            <w:tcW w:w="13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ф.0503121</w:t>
            </w:r>
          </w:p>
        </w:tc>
        <w:tc>
          <w:tcPr>
            <w:tcW w:w="1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движении денежных средств</w:t>
            </w:r>
          </w:p>
        </w:tc>
        <w:tc>
          <w:tcPr>
            <w:tcW w:w="13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"consultantplus://offline/ref=866B7735309E47EE23AA00AC4214A1F2B97FFF0A08BEA69DFC7B609C652D3BC02865D8F8467701640A393B50B260736D7AEDB1DFE2730F67W6o3F"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ф.0503123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3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ф.0503160</w:t>
            </w:r>
          </w:p>
        </w:tc>
        <w:tc>
          <w:tcPr>
            <w:tcW w:w="1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сводной пояснительной записке ф.0503160 представлены следующие таблицы и приложения: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№4 «Сведения об основных положениях учётной политики»;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исполнении бюджета ф.0503164;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движении нефинансовых активов ф.0503168;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по дебиторской и кредиторской задолженности ф.0503169;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принятых и неисполненных обязательствах получателя бюджетных средств ф.0503175.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предоставлены: </w:t>
      </w:r>
      <w:r>
        <w:rPr>
          <w:rFonts w:ascii="Times New Roman" w:hAnsi="Times New Roman" w:cs="Times New Roman"/>
          <w:bCs/>
          <w:sz w:val="24"/>
          <w:szCs w:val="24"/>
        </w:rPr>
        <w:t>Главная книга за 2022 год Управления сельского хозяйства.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п.4 Инструкции №191н бюджетная отчётность представлена на бумажном носителе в сброшюрованном и пронумерованном виде с оглавлением и сопроводительным письмом. Бюджетная отчётность содержит все формы отчётов, предусмотренных Инструкцией №191н (за исключением форм бюджетной отчётности, не имеющих числового значения) и подписана усиленной квалифицированной электронной подписью.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отчётность составлена нарастающим итогом с начала года в рублях с точностью до второго десятичного знака после запятой (п.9 Инструкции №191н).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проверки выполнения контрольных соотношений между показателями форм бюджетной отчётности в автоматическом режиме подтверждены протоколом проверки междокументных контрольных соотношений с отметкой «проверка выполнена успешно».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п.7 Инструкции №191н в целях составления годовой бюджетной отчётности проведена инвентаризация активов и обязательств в порядке, установленном экономическим субъектом в рамках формирования его учётной политики. По данным раздела 5 пояснительной записки (ф.0503160) в целях подтверждения показателей годовой бюджетной отчётности в соответствии с приказом от 21.12.2022 №17/1 Управления сельского хозяйства муниципального образования «Ахтубинский район» проведена инвентаризация основных средств и материальных ценностей.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инвентаризации расхождений между фактическим наличием активов и состоянием расчётов с данными бюджетного учёта не выявлено.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>
      <w:pPr>
        <w:numPr>
          <w:ilvl w:val="0"/>
          <w:numId w:val="2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Проверка правильности составления, ведения бюджетной росписи ГРБС.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пунктом 1 статьи 217, пунктом 1 статьи 219.1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БК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РФ</w:t>
      </w:r>
      <w:r>
        <w:rPr>
          <w:rFonts w:ascii="Times New Roman" w:hAnsi="Times New Roman" w:cs="Times New Roman"/>
          <w:sz w:val="24"/>
          <w:szCs w:val="24"/>
          <w:lang w:eastAsia="zh-CN"/>
        </w:rPr>
        <w:t>, издан приказ Финансового управления от 31.12.2015 №44-с «Об утверждении Порядка составления и ведения сводной бюджетной росписи бюджета муниципального образования «Ахтубинский район» и бюджетных росписей главных распорядителей средств бюджета муниципального образования «Ахтубинский район» (главных администраторов источников финансирования дефицита бюджета муниципального образования «Ахтубинский район»)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zh-CN"/>
        </w:rPr>
        <w:t>(далее - Порядок ведения бюджетной росписи)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 соответствии с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Порядк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ом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ведения бюджетной росписи, бюджетные ассигнования по расходам и лимиты бюджетных обязательств утверждены в разрезе главных распорядителей средств бюджета, разделов, подразделов, целевых статей (муниципальных программ и не программных направлений деятельности), групп, подгрупп видов расходов классификации расходов бюджета.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За проверяемый период изменения показателей сводной бюджетной росписи главного распорядителя бюджетных средств 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  <w:highlight w:val="none"/>
          <w:lang w:val="ru-RU" w:eastAsia="zh-CN"/>
        </w:rPr>
        <w:t>сельского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zh-CN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  <w:highlight w:val="none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представлены в таблице:</w:t>
      </w:r>
    </w:p>
    <w:p>
      <w:pPr>
        <w:wordWrap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Таблица №2 (рублей)</w:t>
      </w:r>
    </w:p>
    <w:tbl>
      <w:tblPr>
        <w:tblStyle w:val="1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25"/>
        <w:gridCol w:w="2158"/>
        <w:gridCol w:w="265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864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Разделподраздел</w:t>
            </w:r>
          </w:p>
        </w:tc>
        <w:tc>
          <w:tcPr>
            <w:tcW w:w="2225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раздела, подраздела</w:t>
            </w:r>
          </w:p>
        </w:tc>
        <w:tc>
          <w:tcPr>
            <w:tcW w:w="2158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Решением Совета от 08.12.2022 №311 на 2022 год</w:t>
            </w:r>
          </w:p>
        </w:tc>
        <w:tc>
          <w:tcPr>
            <w:tcW w:w="2658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бюджетной росписью на 2022 год (приказ№4-С от 09.01.2023г.)</w:t>
            </w:r>
          </w:p>
        </w:tc>
        <w:tc>
          <w:tcPr>
            <w:tcW w:w="1559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64" w:type="dxa"/>
          </w:tcPr>
          <w:p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lang w:val="en-US" w:eastAsia="zh-CN" w:bidi="ar"/>
              </w:rPr>
              <w:t>Всего</w:t>
            </w:r>
          </w:p>
        </w:tc>
        <w:tc>
          <w:tcPr>
            <w:tcW w:w="2225" w:type="dxa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lang w:val="en-US" w:eastAsia="zh-CN" w:bidi="ar"/>
              </w:rPr>
              <w:t>21747 952,25</w:t>
            </w:r>
          </w:p>
        </w:tc>
        <w:tc>
          <w:tcPr>
            <w:tcW w:w="2658" w:type="dxa"/>
          </w:tcPr>
          <w:p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lang w:val="en-US" w:eastAsia="zh-CN" w:bidi="ar"/>
              </w:rPr>
              <w:t>22094 021,05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lang w:val="en-US" w:eastAsia="zh-CN" w:bidi="ar"/>
              </w:rPr>
              <w:t>346 068,80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bottom"/>
          </w:tcPr>
          <w:p>
            <w:pPr>
              <w:textAlignment w:val="bottom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SimSun" w:cs="Times New Roman"/>
                <w:color w:val="000000"/>
                <w:lang w:val="ru-RU" w:eastAsia="zh-CN" w:bidi="ar"/>
              </w:rPr>
              <w:t>5</w:t>
            </w:r>
          </w:p>
        </w:tc>
        <w:tc>
          <w:tcPr>
            <w:tcW w:w="222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SimSun"/>
                <w:color w:val="000000"/>
                <w:lang w:val="en-US" w:eastAsia="zh-CN"/>
              </w:rPr>
              <w:t>Сельское хозяйство и рыболовство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21747 952,25</w:t>
            </w:r>
          </w:p>
        </w:tc>
        <w:tc>
          <w:tcPr>
            <w:tcW w:w="2658" w:type="dxa"/>
          </w:tcPr>
          <w:p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22094 021,05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346 068,80</w:t>
            </w:r>
          </w:p>
        </w:tc>
      </w:tr>
    </w:tbl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представленной бухгалтерской отчётностью Управление сельского хозяйства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не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является администратором доходов.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Р</w:t>
      </w:r>
      <w:r>
        <w:rPr>
          <w:rFonts w:ascii="Times New Roman" w:hAnsi="Times New Roman" w:cs="Times New Roman"/>
          <w:sz w:val="24"/>
          <w:szCs w:val="24"/>
          <w:lang w:eastAsia="zh-CN"/>
        </w:rPr>
        <w:t>асходы составили 21976971,82 рублей при плане 22094021,05 рублей, исполнение составило 99,47%.</w:t>
      </w:r>
    </w:p>
    <w:p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Проверка правильности составления, ведения бюджетной росписи ГРБС.</w:t>
      </w:r>
    </w:p>
    <w:p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полноты бюджетной отчётности в части её соответствия по составу и установленным формам, достоверности отражения показателей бюджетной отчётности по их соответствию положениям Инструкции №191н установлено (определён выборочный способ проверки):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п.7 Инструкции №191н бюджетная отчётность составлена: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основе данных Главной книги и (или) других регистров бюджетного учёта;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основе плановых (прогнозных) и (или) аналитических (управленческих) данных, сформированных в ходе осуществления субъектом учёта своей деятельности.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Справка по заключению счетов бюджетного учёта отчётного финансового года (ф.0503110)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п.43 Инструкции №191н справка отражает обороты по счетам бюджетного учёта, подлежащим закрытию по завершении отчётного финансового года в установленном порядке, в разрезе бюджетной деятельности (раздел 1 и раздел 3) и деятельности со средствами, поступающими во временное распоряжение (раздел 2).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«Бюджетная деятельность» справки сформирован на основании данных по соответствующим номерам счетов 140110 «Доходы текущего финансового года», 140120 «Расходы текущего финансового года» в сумме показателей на 01.01.2023 (графы 2,3) и в сумме заключительных операций по закрытию счетов, произведённых по завершении 2022 года (графы 4-7). Данные показателей ф.0503110 сопоставимы с данными форм 0503121.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Отчёт о финансовых результатах деятельности (ф.0503121).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ф.0503121 представлен в составе годовой бюджетной отчётности (п.п.10, 92 Инструкции №191н). Во исполнение п.92-93 Инструкции №191н отчёт содержит данные о финансовых результатах деятельности в разрезе кодов КОСГУ по состоянию на 01.01.2022 г., отражённые в рамках бюджетной деятельности (гр.4) и итогового показателя (гр.6).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156"/>
        <w:gridCol w:w="4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15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69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деятельность 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469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469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21918555,10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Чистый операционный результат (стр.3+стр.4)</w:t>
            </w:r>
          </w:p>
        </w:tc>
        <w:tc>
          <w:tcPr>
            <w:tcW w:w="469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-21918555,10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с нефинансовыми активами</w:t>
            </w:r>
          </w:p>
        </w:tc>
        <w:tc>
          <w:tcPr>
            <w:tcW w:w="469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-6235,39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с финансовыми активами и обязательствами</w:t>
            </w:r>
          </w:p>
        </w:tc>
        <w:tc>
          <w:tcPr>
            <w:tcW w:w="469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-21912319,71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показателей ф.0503121 сопоставимы с данными формы 0503110.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Отчёт</w:t>
      </w:r>
      <w:r>
        <w:rPr>
          <w:rFonts w:ascii="Times New Roman" w:hAnsi="Times New Roman" w:cs="Times New Roman"/>
          <w:b/>
          <w:sz w:val="24"/>
          <w:szCs w:val="24"/>
        </w:rPr>
        <w:t xml:space="preserve"> о движении денежных средств (ф.0503123).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п.146 Инструкции №191н отчёт содержит данные о движении денежных средств в кассе, на счёте по состоянию на 01.01.2023г. и составлен в разрезе КОСГУ. Информация сгруппирована по видам операций: текущие, инвестиционные, финансовые. Показатели графы 4 отчёта ф.0503123 сформированы на основании данных по видам поступлений и выбытий, с учётом возвратов текущего финансового периода.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>
        <w:fldChar w:fldCharType="begin"/>
      </w:r>
      <w:r>
        <w:instrText xml:space="preserve"> HYPERLINK "consultantplus://offline/ref=827AC9A5E62DFDDB7D04897F3119B8BA47CEE20C384A92A7311A1AF96C7C502A7D3D2E439D81FE5269D41AE7A2C3C7E592C86EE01B76D2wAEEL"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строк 5010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"consultantplus://offline/ref=827AC9A5E62DFDDB7D04897F3119B8BA47CEE20C384A92A7311A1AF96C7C502A7D3D2E439D81FE5169D41AE7A2C3C7E592C86EE01B76D2wAEEL"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5020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за вычетом </w:t>
      </w:r>
      <w:r>
        <w:fldChar w:fldCharType="begin"/>
      </w:r>
      <w:r>
        <w:instrText xml:space="preserve"> HYPERLINK "consultantplus://offline/ref=827AC9A5E62DFDDB7D04897F3119B8BA47CEE20C384A92A7311A1AF96C7C502A7D3D2E439D8EF85A69D41AE7A2C3C7E592C86EE01B76D2wAEEL"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строки 4400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суммы </w:t>
      </w:r>
      <w:r>
        <w:fldChar w:fldCharType="begin"/>
      </w:r>
      <w:r>
        <w:instrText xml:space="preserve"> HYPERLINK "consultantplus://offline/ref=827AC9A5E62DFDDB7D04897F3119B8BA47CEE20C384A92A7311A1AF96C7C502A7D3D2E439D8EF65469D41AE7A2C3C7E592C86EE01B76D2wAEEL"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строк 4610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"consultantplus://offline/ref=827AC9A5E62DFDDB7D04897F3119B8BA47CEE20C384A92A7311A1AF96C7C502A7D3D2E439D8EF65B69D41AE7A2C3C7E592C86EE01B76D2wAEEL"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4620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отчёта (ф. 0503123) равняется сумме </w:t>
      </w:r>
      <w:r>
        <w:fldChar w:fldCharType="begin"/>
      </w:r>
      <w:r>
        <w:instrText xml:space="preserve"> HYPERLINK "consultantplus://offline/ref=827AC9A5E62DFDDB7D04897F3119B8BA47CEE20C384A92A7311A1AF96C7C502A7D3D2E43998BFD5A608B1FF2B39BCBE58DD66AFA0774D0AFw8EDL"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строк 700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"consultantplus://offline/ref=827AC9A5E62DFDDB7D04897F3119B8BA47CEE20C384A92A7311A1AF96C7C502A7D3D2E43998BFD5A6B8B1FF2B39BCBE58DD66AFA0774D0AFw8EDL"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810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граф 5 и 6 отчёта (ф. 0503127) без учёта остатков в кассе.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Статьёй 34 БК РФ установлен принцип эффективности использования бюджетных средств,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объёма средств (экономности) и (или) достижения наилучшего результата с использованием определённого бюджетом объёма средств (результативности).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требований, установленных статьёй 162 БК РФ, получатель бюджетных средств обеспечивает результативность использования предусмотренных ему бюджетных ассигнований.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Управлением сельского хозяйства произведены расходы по уплате штрафа за нарушение законодательства о налогах и сборах в размере 125,00 рублей, пени по страховым взносам в размере 0,27 рублей и пени по транспортному налогу в размере 136,98 рублей (общая сумма пени 137,25 рублей).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нарушение ст.34 БК РФ допущено неэффективное использование бюджетных средств, произведены расходы по уплате штрафа и пени на общую сумму 262,25 рублей.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п.10.9.2 Порядка №209н на подстатью </w:t>
      </w:r>
      <w:r>
        <w:rPr>
          <w:rFonts w:ascii="Times New Roman" w:hAnsi="Times New Roman"/>
          <w:sz w:val="24"/>
          <w:szCs w:val="24"/>
        </w:rPr>
        <w:t>292 КОСГУ «Штрафы за нарушение законодательства о налогах и сборах, законодательства о страховых взносах» относятся расходы по уплате штрафов, пеней за несвоевременную уплату налогов, сборов, страховых взносов, а также за нарушение законодательства Российской Федерации о налогах и сборах, законодательства Российской Федерации о страховых взносах.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"consultantplus://offline/ref=244B7818806F20377CEE9A675CC1B36418E1ED72CFF5AF1EF180089CDB0B98A508FCD7AD1A7C9EDDD9222E5BC8D551E103159003DE963DD5E8w3G"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Подстатья 292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КОСГУ чаще всего применяется в </w:t>
      </w:r>
      <w:r>
        <w:fldChar w:fldCharType="begin"/>
      </w:r>
      <w:r>
        <w:instrText xml:space="preserve"> HYPERLINK "consultantplus://offline/ref=244B7818806F20377CEE9A675CC1B36418E7E67BCAF3AF1EF180089CDB0B98A508FCD7AD1A7D98DAD8222E5BC8D551E103159003DE963DD5E8w3G"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увязке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с КВР </w:t>
      </w:r>
      <w:r>
        <w:fldChar w:fldCharType="begin"/>
      </w:r>
      <w:r>
        <w:instrText xml:space="preserve"> HYPERLINK "consultantplus://offline/ref=244B7818806F20377CEE9A675CC1B36418E0E176CFFAAF1EF180089CDB0B98A508FCD7AD1A7D9BD0DC222E5BC8D551E103159003DE963DD5E8w3G"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853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«Уплата иных платежей» для отражения расходов бюджетов на уплату штрафов, пеней по налогам, сборам и страховым взносам.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Управлением сельского хозяйства произведены расходы по уплате пени </w:t>
      </w:r>
      <w:r>
        <w:rPr>
          <w:rFonts w:ascii="Times New Roman" w:hAnsi="Times New Roman"/>
          <w:sz w:val="24"/>
          <w:szCs w:val="24"/>
        </w:rPr>
        <w:t>в сумме 137,25 рублей и отнесены на подстатью 291 КОСГУ «Налоги, пошлины и сборы» с увязкой КВР 853 «Уплата иных платежей».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нарушение п.10.9.2 Порядка №209н расходы по уплате пени отнесены на неверную подстатью КОСГУ.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>
      <w:p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 Справка по консолидируемым расчётам (ф.0503125).</w:t>
      </w:r>
    </w:p>
    <w:p>
      <w:pPr>
        <w:tabs>
          <w:tab w:val="left" w:pos="1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п.23 Инструкции №191н справка по консолидируемым расчётам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отчётности и представляется на 1 января года, следующего за отчётным, по денежным и неденежным расчётам. Отчёт ф. 0503125 </w:t>
      </w:r>
      <w:r>
        <w:rPr>
          <w:rFonts w:ascii="Times New Roman" w:hAnsi="Times New Roman"/>
          <w:sz w:val="24"/>
          <w:szCs w:val="24"/>
        </w:rPr>
        <w:t>не включён в состав бюджетной отчётности за отчётный период согласно абзацу 1 пункта 8 Инструкции №191н, ввиду отсутствия числовых значений показателей.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 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раскрывает бюджетную </w:t>
      </w:r>
      <w:r>
        <w:fldChar w:fldCharType="begin"/>
      </w:r>
      <w:r>
        <w:instrText xml:space="preserve"> HYPERLINK "consultantplus://offline/ref=FF3DB571B2F08C93F47E057097A9F3D75329E5619206DA4B28C691DD3EF6BE472DB07AEE7B5DD32ED77D0113CBB4D33D5860C924B24DF3B3Y0E9M"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обеспечивает сопоставление утверждённых (доведённых) бюджетных назначений с данными об исполнении бюджета. При заполнении документа руководствуются </w:t>
      </w:r>
      <w:r>
        <w:fldChar w:fldCharType="begin"/>
      </w:r>
      <w:r>
        <w:instrText xml:space="preserve"> HYPERLINK "consultantplus://offline/ref=FF3DB571B2F08C93F47E057097A9F3D7532AE66E9508DA4B28C691DD3EF6BE472DB07AEE7B5DD725D77D0113CBB4D33D5860C924B24DF3B3Y0E9M"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п.п.52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fldChar w:fldCharType="begin"/>
      </w:r>
      <w:r>
        <w:instrText xml:space="preserve"> HYPERLINK "consultantplus://offline/ref=FF3DB571B2F08C93F47E057097A9F3D7532AE66E9508DA4B28C691DD3EF6BE472DB07AEE7B5DD62FD37D0113CBB4D33D5860C924B24DF3B3Y0E9M"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"consultantplus://offline/ref=FF3DB571B2F08C93F47E057097A9F3D7532AE66E9508DA4B28C691DD3EF6BE472DB07AEE7B5DD628D47D0113CBB4D33D5860C924B24DF3B3Y0E9M"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fldChar w:fldCharType="begin"/>
      </w:r>
      <w:r>
        <w:instrText xml:space="preserve"> HYPERLINK "consultantplus://offline/ref=FF3DB571B2F08C93F47E057097A9F3D7532AE66E9508DA4B28C691DD3EF6BE472DB07AE87956877D902358418FFFDE3D467CC925YAEDM"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Инструкции №191н.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по строке 500 раздела «Источники финансирования дефицита бюджета» в графах 5, 6, 7, 8 равны показателям, отражённым по строке 450 в графах 6, 7, 8, 9 соответственно, с противоположным знаком.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отчёта ф.0503127 сопоставимы с показателями отчёта ф.0503123 (отчёт показывает движение денежных средств на счетах учреждения).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граф 4, 5 и 9 разд. 2 и 3 отчёта ф.0503127 сопоставимы с показателями граф 4, 5 и 10 разд. 1 и 2 отчёта ф.0503128 соответственно.</w:t>
      </w:r>
    </w:p>
    <w:p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расходов, отражённая в Отчёте (ф.0503127) по разделу «Расходы бюджета - всего» в графе 6 «Исполнено, через финансовые органы» – 21976971,82 рублей соответствует данным по соответствующим счетам счета 130405000 «Расчёты по платежам из бюджета с финансовым органом» в главной книге за 2022 год.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п.59.1 Инструкции №191н сформирована дополнительная ф.0503127, содержащая данные о бюджетных назначениях по доходам, расходам, источникам финансирования дефицита бюджета.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не выявлено.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 Отчёт о бюджетных обязательствах (ф.0503128).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составлен на основании данных о принятых и исполненных бюджетных обязательствах и представлен по состоянию на 01.01.2023г. Показатели отражены на основании данных об обязательствах, подлежащих исполнению в 2022 году (п.п.68, 69 Инструкции №191н). Отчёт заполнен в порядке, приведённом в п.п.70, 71 - 73 Инструкции №191н.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разделу 1 «Бюджетные обязательства текущего (отчётного) финансового года по расходам» заполнение: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графы 4 в части доведённых бюджетных ассигнований осуществлялось на основании данных по кредитовому обороту соответствующих счетов аналитического учёта счета 150313000 «Бюджетные ассигнования получателей бюджетных средств и администраторов выплат по источникам текущего финансового года» (22094021,05 рублей);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графы 5 - отражались показатели лимитов бюджетных обязательств, доведённых себе как получателю бюджетных средств за отчётный период с учётом изменений: кредит соответствующих счетов аналитического учёта счета 150113000 «Лимиты бюджетных обязательств получателей бюджетных средств текущего финансового года» в корреспонденции с дебетом соответствующих счетов аналитического учёта счета 150115000 «Полученные лимиты бюджетных обязательств (на текущий финансовый год)» (22094021,05 рублей). Нарушений не установлено.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по расходам в сумме 22094021,05 рублей, утверждённые Приказом Финансового управления МО «Ахтубинский район» от 09.01.2023 г. №4-С «Об утверждении сводной бюджетной росписи бюджета муниципального образования «Ахтубинский район» на 2022 год и плановый период 2023 и 2024 годов» соответствуют гр. 4, 5 раздела 1 «</w:t>
      </w:r>
      <w:r>
        <w:fldChar w:fldCharType="begin"/>
      </w:r>
      <w:r>
        <w:instrText xml:space="preserve"> HYPERLINK "consultantplus://offline/ref=4D973BE1B9845E6C6757B7A303DB4D29A2999F46B219EB80A89B45DBBAE6BD776605CB2664E1C3F48DD924C9E97291BBF162BF4D5395BDk764J"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Бюджетные обязательства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текущего (отчётного) финансового года по расходам» Отчёта (ф.0503128).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п.70.1 в целях формирования сводного Отчёта (ф.0503128) дополнительно сформирован отчёт (ф.0503128 о бюджетных назначениях) в части граф 4 и 5 на суммы нераспределенных бюджетных назначений (бюджетных ассигнований, лимитов бюджетных обязательств).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не выявлено.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4.7.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(ф.0503130, далее Баланс).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 содержит данные о нефинансовых и финансовых активах, обязательствах на первый и последний день отчётного периода по счетам бюджетного учёта.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п.13 Инструкции №191н показатели в Балансе отражены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отчётного периода (графы 6, 7, 8).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п.14-15 Инструкции №191н в Балансе в графах «На начало года» показаны данные стоимости активов, обязательств, финансовом результате на начало года, которые соответствуют данным граф «На конец отчётного периода» предыдущего года. В графах «На конец отчётного периода» отражены данные по состоянию на 01.01.2023 г. с учётом проведённых при завершении финансового года заключительных оборотов по счетам бюджетного учёта.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строки 700 Баланса соответствуют идентичным показателям строки 350.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Баланса сопоставимы с показателями сведений о движении нефинансовых активов (ф.0503168) и сведений по дебиторской и кредиторской задолженности (ф.0503169).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Баланса сформирована справка о наличии имущества и обязательств на забалансовых счетах на начало и конец периода (основные средства в эксплуатации на 01.01.2023 - 98674,54 рублей).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highlight w:val="cy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4.8. Пояснительная записка (ф.0503160).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п.152 Инструкции №191н пояснительная записка составлена в разрезе следующих разделов: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«Организационная структура субъекта бюджетной отчётности» содержит: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характеризующие организационную структуру, информацию об открытых бюджетных счетах, о направлениях деятельности и нормативных документах, на основании которых составлена годовая отчётность.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 «Результаты деятельности субъекта бюджетной отчётности»: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нарушение п.152 Инструкции №191н в пояснительной записке излишне указана информация о численности работников, свободных вакансиях, мероприятиях по предоставлению и расходованию субвенций.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«Анализ отчёта об исполнении бюджета субъектом бюджетной отчётности» содержит: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исполнении бюджета </w:t>
      </w:r>
      <w:r>
        <w:fldChar w:fldCharType="begin"/>
      </w:r>
      <w:r>
        <w:instrText xml:space="preserve"> HYPERLINK "consultantplus://offline/ref=21EAB5A8A1155EB0F9B9CEA97921B29B23C55AE14307F4153CA4582CF5FB7435FD442083BA1E8B2E8763B385514BA12BA6BECE459E9C14A8dDbAF"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(ф.0503164)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содержится информация на основе показателей отчёта об исполнении бюджета (ф.0503127), процент исполнения по доходам составляет – 0,0% (отсутствуют доходы). Процент исполнения по расходам составляет 99,47% (сумма отклонения - 117049,23 рублей).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 «Анализ показателей бухгалтерской отчётности субъекта бюджетной отчётности»:</w:t>
      </w:r>
    </w:p>
    <w:p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п.166 Инструкции №191н к пояснительной записке приложена ф.0503168 и содержит обобщённые за 2022 год данные о движении нефинансовых активов. Стоимость нефинансовых активов по состоянию на 01.01.2022г. и 01.01.2023 г. составила в разрезе счетов бюджетного учёта: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010100 «Основные средства» - 1095482,78 рублей и 902019,68 рублей;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010200 «Нематериальные активы» отсутствуют;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010300 «Земля» отсутствуют.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010400 «Амортизация» - 1020762,78 рублей и 827299,68 рублей;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110500 «Материальные запасы» - 216733,70 рублей и 210498,31 рублей;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111600 «Права пользования нематериальными активами» - 42500,00 рублей и 42500,00 рублей.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строк 010 «Основные средства», 050 «Амортизация основных средств», 190 «Материальные запасы», 290 «Права пользования нематериальными активами» гр. 4 «Наличие на начало года» и гр. 11 «Наличие на конец года» сведений о движении нефинансовых активов соответствуют данным Баланса (ф.0503130).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п.167 Инструкции №191н к пояснительной записке представлена ф.0503169 и составлена раздельно по дебиторской и кредиторской задолженности.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</w:t>
      </w:r>
      <w:r>
        <w:rPr>
          <w:rFonts w:ascii="Times New Roman" w:hAnsi="Times New Roman" w:cs="Times New Roman"/>
          <w:i/>
          <w:iCs/>
          <w:sz w:val="24"/>
          <w:szCs w:val="24"/>
        </w:rPr>
        <w:t>доходам</w:t>
      </w:r>
      <w:r>
        <w:rPr>
          <w:rFonts w:ascii="Times New Roman" w:hAnsi="Times New Roman" w:cs="Times New Roman"/>
          <w:sz w:val="24"/>
          <w:szCs w:val="24"/>
        </w:rPr>
        <w:t xml:space="preserve"> сч.1.205.00000 на 01.01.2023 г. отсутствует.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по выплатам</w:t>
      </w:r>
      <w:r>
        <w:rPr>
          <w:rFonts w:ascii="Times New Roman" w:hAnsi="Times New Roman" w:cs="Times New Roman"/>
          <w:sz w:val="24"/>
          <w:szCs w:val="24"/>
        </w:rPr>
        <w:t xml:space="preserve"> сч.1.206.00000 на 01.01.2023г. отсутствует.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просроченной дебиторской задолженности отсутствуют.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Кредиторская задолженность на 01.01.2023 г. по выплатам сч.1.302.00000 составила 2559,30 рублей, по сч.1.401.60 резерв предстоящих расходов на 2023 год - 87259,84 рублей. Сведения о просроченной кредиторской задолженности отсутствуют.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отражённые в ф.0503169 соответствуют данным Баланса ф.0503130.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п.170.2 Инструкции №191н к пояснительной записке представлена ф.0503175 и содержит аналитические данные о неисполненных бюджетных обязательствах (9268,44 рублей), неисполненных денежных обязательствах (2559,30). Показатели, отражённые в ф.0503175 соответствуют данным отчёта ф.0503128.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 «Прочие вопросы деятельности субъекта бюджетной отчётности» содержит: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пунктом 156 Инструкции №191н информация, отражаемая в Таблице №4, характеризует особенности отражения в бюджетном учёте операций с активами и обязательствами в части установленного Инструкцией №191н по бюджетному учёту права учреждения самостоятельно определять такие особенности;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форм отчётности, не включённых в состав бюджетной отчётности за отчётный период согласно абзацу 1 пункта 8 Инструкции №191н, ввиду отсутствия числовых значений показателей: ф. 0503128 НП, ф. 0503162, ф.0603166, ф.0503167, ф. 0503171, ф.0503172, ф.0503173, ф.0503174, ф.0503178, ф.0503296, ф. 0503190, ф 0503191, ф. 0503192, 0503184, таблица №1, №3, №6.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нарушение п.8 Инструкции №191н в пояснительной записке в перечень форм отчётности, не включённых в состав бюджетной отчётности за отчётный период не включены ф. 0503125, ф. 0503184.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2"/>
          <w:szCs w:val="12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>
      <w:pPr>
        <w:pStyle w:val="15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полноты и достоверности бюджетной отчётности во всех существенных отношениях проводилась на выборочной основе. Бюджетная отчётность за 2022 год представлена в срок, достоверна, соответствует структуре и бюджетной классификации. </w:t>
      </w:r>
    </w:p>
    <w:p>
      <w:pPr>
        <w:pStyle w:val="15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и недостатков, существенно оказавших влияние на полноту отражения показателей отчётности и на достоверность показателей представленной отчётности за 2022 год, не выявлено.</w:t>
      </w:r>
    </w:p>
    <w:p>
      <w:pPr>
        <w:pStyle w:val="15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п.152 Инструкции №191н в пояснительной записке излишне указана информация о численности работников, свободных вакансиях, мероприятиях по предоставлению и расходованию субвенций.</w:t>
      </w:r>
    </w:p>
    <w:p>
      <w:pPr>
        <w:pStyle w:val="15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ст.34 БК РФ допущено неэффективное использование бюджетных средств, произведены расходы по уплате штрафа и пени на общую сумму 262,25 рублей.</w:t>
      </w:r>
    </w:p>
    <w:p>
      <w:pPr>
        <w:pStyle w:val="15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п.10.9.2 Порядка №209н расходы по уплате пени отнесены на неверную подстатью КОСГУ.</w:t>
      </w:r>
    </w:p>
    <w:p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Председатель Контрольно-счетной палаты</w:t>
      </w:r>
    </w:p>
    <w:p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МО «Ахтубинский район»                                                                           Ю.Ю. Журавлева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thinThickSmallGap" w:color="622423" w:themeColor="accent2" w:themeShade="7F" w:sz="24" w:space="1"/>
      </w:pBd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</w:rPr>
      <w:t>Заключение Контрольно-счетной палаты МО «Ахтубинский район»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Страница </w:t>
    </w:r>
    <w:r>
      <w:rPr>
        <w:rFonts w:eastAsiaTheme="minorEastAsia"/>
      </w:rPr>
      <w:fldChar w:fldCharType="begin"/>
    </w:r>
    <w:r>
      <w:instrText xml:space="preserve">PAGE   \* MERGEFORMAT</w:instrText>
    </w:r>
    <w:r>
      <w:rPr>
        <w:rFonts w:eastAsiaTheme="minorEastAsia"/>
      </w:rPr>
      <w:fldChar w:fldCharType="separate"/>
    </w:r>
    <w:r>
      <w:rPr>
        <w:rFonts w:asciiTheme="majorHAnsi" w:hAnsiTheme="majorHAnsi" w:eastAsiaTheme="majorEastAsia" w:cstheme="majorBidi"/>
      </w:rPr>
      <w:t>9</w:t>
    </w:r>
    <w:r>
      <w:rPr>
        <w:rFonts w:asciiTheme="majorHAnsi" w:hAnsiTheme="majorHAnsi" w:eastAsiaTheme="majorEastAsia" w:cstheme="majorBidi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2FFFB"/>
    <w:multiLevelType w:val="singleLevel"/>
    <w:tmpl w:val="3332FFF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6BF50F5"/>
    <w:multiLevelType w:val="multilevel"/>
    <w:tmpl w:val="46BF50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C1717"/>
    <w:multiLevelType w:val="multilevel"/>
    <w:tmpl w:val="4D5C1717"/>
    <w:lvl w:ilvl="0" w:tentative="0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075"/>
    <w:rsid w:val="0000723B"/>
    <w:rsid w:val="00010C2A"/>
    <w:rsid w:val="000160D1"/>
    <w:rsid w:val="00016178"/>
    <w:rsid w:val="0001652B"/>
    <w:rsid w:val="00020CB0"/>
    <w:rsid w:val="00020F50"/>
    <w:rsid w:val="0003028E"/>
    <w:rsid w:val="00032C24"/>
    <w:rsid w:val="000415A4"/>
    <w:rsid w:val="00041D74"/>
    <w:rsid w:val="000437B6"/>
    <w:rsid w:val="0004698F"/>
    <w:rsid w:val="000505E7"/>
    <w:rsid w:val="0005072A"/>
    <w:rsid w:val="00062F8D"/>
    <w:rsid w:val="00067638"/>
    <w:rsid w:val="00067F00"/>
    <w:rsid w:val="00072D46"/>
    <w:rsid w:val="00074470"/>
    <w:rsid w:val="00075D18"/>
    <w:rsid w:val="00084580"/>
    <w:rsid w:val="000906F8"/>
    <w:rsid w:val="000934D1"/>
    <w:rsid w:val="00093BDB"/>
    <w:rsid w:val="00095B72"/>
    <w:rsid w:val="00096C26"/>
    <w:rsid w:val="000A0E5D"/>
    <w:rsid w:val="000A4CA4"/>
    <w:rsid w:val="000B240B"/>
    <w:rsid w:val="000B2F33"/>
    <w:rsid w:val="000B365D"/>
    <w:rsid w:val="000B3DBD"/>
    <w:rsid w:val="000D1EC7"/>
    <w:rsid w:val="000D69B2"/>
    <w:rsid w:val="000E1B75"/>
    <w:rsid w:val="000E6906"/>
    <w:rsid w:val="000F28D6"/>
    <w:rsid w:val="000F3D2A"/>
    <w:rsid w:val="000F441F"/>
    <w:rsid w:val="000F5AC2"/>
    <w:rsid w:val="000F79A9"/>
    <w:rsid w:val="00101C9C"/>
    <w:rsid w:val="00106231"/>
    <w:rsid w:val="0011015C"/>
    <w:rsid w:val="00111C38"/>
    <w:rsid w:val="00112D6E"/>
    <w:rsid w:val="0011310B"/>
    <w:rsid w:val="00113189"/>
    <w:rsid w:val="00117425"/>
    <w:rsid w:val="00122603"/>
    <w:rsid w:val="0012564A"/>
    <w:rsid w:val="00141494"/>
    <w:rsid w:val="00146FAE"/>
    <w:rsid w:val="00147A26"/>
    <w:rsid w:val="001566B9"/>
    <w:rsid w:val="001632F6"/>
    <w:rsid w:val="00164C99"/>
    <w:rsid w:val="00172A27"/>
    <w:rsid w:val="00180229"/>
    <w:rsid w:val="00185F28"/>
    <w:rsid w:val="00193516"/>
    <w:rsid w:val="001A327F"/>
    <w:rsid w:val="001A3703"/>
    <w:rsid w:val="001A587F"/>
    <w:rsid w:val="001A67E8"/>
    <w:rsid w:val="001A731D"/>
    <w:rsid w:val="001B0400"/>
    <w:rsid w:val="001B3612"/>
    <w:rsid w:val="001C0B8F"/>
    <w:rsid w:val="001C3C1C"/>
    <w:rsid w:val="001D40B5"/>
    <w:rsid w:val="001D4FB6"/>
    <w:rsid w:val="001D6111"/>
    <w:rsid w:val="001E5546"/>
    <w:rsid w:val="001E6817"/>
    <w:rsid w:val="001E7933"/>
    <w:rsid w:val="001F5DFD"/>
    <w:rsid w:val="0022190F"/>
    <w:rsid w:val="002307F6"/>
    <w:rsid w:val="002313D8"/>
    <w:rsid w:val="0023161E"/>
    <w:rsid w:val="002324C0"/>
    <w:rsid w:val="00236C1D"/>
    <w:rsid w:val="00246CCE"/>
    <w:rsid w:val="00247EE1"/>
    <w:rsid w:val="0025296E"/>
    <w:rsid w:val="002548F8"/>
    <w:rsid w:val="002631A4"/>
    <w:rsid w:val="00264B14"/>
    <w:rsid w:val="002660E8"/>
    <w:rsid w:val="00271123"/>
    <w:rsid w:val="00272373"/>
    <w:rsid w:val="00282921"/>
    <w:rsid w:val="00285210"/>
    <w:rsid w:val="0029324A"/>
    <w:rsid w:val="002B5B17"/>
    <w:rsid w:val="002C03DC"/>
    <w:rsid w:val="002C2F3B"/>
    <w:rsid w:val="002C33C8"/>
    <w:rsid w:val="002C40BD"/>
    <w:rsid w:val="002D323E"/>
    <w:rsid w:val="002E5F24"/>
    <w:rsid w:val="002E797A"/>
    <w:rsid w:val="002F45B3"/>
    <w:rsid w:val="003044BE"/>
    <w:rsid w:val="00304535"/>
    <w:rsid w:val="00306704"/>
    <w:rsid w:val="00312EBB"/>
    <w:rsid w:val="00322B57"/>
    <w:rsid w:val="0032380F"/>
    <w:rsid w:val="00323D6E"/>
    <w:rsid w:val="003246DF"/>
    <w:rsid w:val="0032733B"/>
    <w:rsid w:val="0034677B"/>
    <w:rsid w:val="00353679"/>
    <w:rsid w:val="00353BEC"/>
    <w:rsid w:val="003625FF"/>
    <w:rsid w:val="00370783"/>
    <w:rsid w:val="0037401C"/>
    <w:rsid w:val="00374E07"/>
    <w:rsid w:val="0037649C"/>
    <w:rsid w:val="0037759E"/>
    <w:rsid w:val="00380756"/>
    <w:rsid w:val="00390834"/>
    <w:rsid w:val="0039451C"/>
    <w:rsid w:val="00394966"/>
    <w:rsid w:val="00394B72"/>
    <w:rsid w:val="00396FA6"/>
    <w:rsid w:val="003A0323"/>
    <w:rsid w:val="003B6982"/>
    <w:rsid w:val="003B7E26"/>
    <w:rsid w:val="003C230A"/>
    <w:rsid w:val="003C7E4B"/>
    <w:rsid w:val="003D0AA8"/>
    <w:rsid w:val="003D333C"/>
    <w:rsid w:val="003D411C"/>
    <w:rsid w:val="003E2A84"/>
    <w:rsid w:val="003E4A34"/>
    <w:rsid w:val="003F2810"/>
    <w:rsid w:val="003F665B"/>
    <w:rsid w:val="00400199"/>
    <w:rsid w:val="0040379B"/>
    <w:rsid w:val="00420379"/>
    <w:rsid w:val="00422F15"/>
    <w:rsid w:val="00423373"/>
    <w:rsid w:val="00423683"/>
    <w:rsid w:val="004237BF"/>
    <w:rsid w:val="00424B06"/>
    <w:rsid w:val="00424C42"/>
    <w:rsid w:val="004251EE"/>
    <w:rsid w:val="004269EB"/>
    <w:rsid w:val="00431141"/>
    <w:rsid w:val="0043138B"/>
    <w:rsid w:val="004324DD"/>
    <w:rsid w:val="00436A16"/>
    <w:rsid w:val="00441DE0"/>
    <w:rsid w:val="00442CFF"/>
    <w:rsid w:val="00444D58"/>
    <w:rsid w:val="004455BD"/>
    <w:rsid w:val="00446089"/>
    <w:rsid w:val="004565D6"/>
    <w:rsid w:val="00457BED"/>
    <w:rsid w:val="00462EEB"/>
    <w:rsid w:val="00471974"/>
    <w:rsid w:val="00472D97"/>
    <w:rsid w:val="0048141D"/>
    <w:rsid w:val="004859B1"/>
    <w:rsid w:val="004866F9"/>
    <w:rsid w:val="0049185B"/>
    <w:rsid w:val="0049277A"/>
    <w:rsid w:val="00495FF6"/>
    <w:rsid w:val="004A2E77"/>
    <w:rsid w:val="004A5403"/>
    <w:rsid w:val="004A566B"/>
    <w:rsid w:val="004C20A3"/>
    <w:rsid w:val="004C5694"/>
    <w:rsid w:val="004C659E"/>
    <w:rsid w:val="004C71D8"/>
    <w:rsid w:val="004D15FA"/>
    <w:rsid w:val="004D65AB"/>
    <w:rsid w:val="004D6DC6"/>
    <w:rsid w:val="004D6FA7"/>
    <w:rsid w:val="004D7F62"/>
    <w:rsid w:val="004E1C0D"/>
    <w:rsid w:val="004E2FE3"/>
    <w:rsid w:val="004E3577"/>
    <w:rsid w:val="004E493A"/>
    <w:rsid w:val="004F13F6"/>
    <w:rsid w:val="004F18FE"/>
    <w:rsid w:val="004F39CB"/>
    <w:rsid w:val="004F5C2C"/>
    <w:rsid w:val="00500D73"/>
    <w:rsid w:val="00501BD1"/>
    <w:rsid w:val="00504068"/>
    <w:rsid w:val="005065B5"/>
    <w:rsid w:val="00506B6F"/>
    <w:rsid w:val="00510739"/>
    <w:rsid w:val="00513A60"/>
    <w:rsid w:val="005141D8"/>
    <w:rsid w:val="00516400"/>
    <w:rsid w:val="005300CD"/>
    <w:rsid w:val="00536299"/>
    <w:rsid w:val="00547765"/>
    <w:rsid w:val="00550D3E"/>
    <w:rsid w:val="005548B7"/>
    <w:rsid w:val="0055547C"/>
    <w:rsid w:val="0056133E"/>
    <w:rsid w:val="0056264C"/>
    <w:rsid w:val="00571831"/>
    <w:rsid w:val="00574580"/>
    <w:rsid w:val="005812B1"/>
    <w:rsid w:val="00584F6B"/>
    <w:rsid w:val="00587FEF"/>
    <w:rsid w:val="005B23B6"/>
    <w:rsid w:val="005B3AC4"/>
    <w:rsid w:val="005C1C18"/>
    <w:rsid w:val="005C4F63"/>
    <w:rsid w:val="005C5916"/>
    <w:rsid w:val="005C745A"/>
    <w:rsid w:val="005D1D98"/>
    <w:rsid w:val="005D348E"/>
    <w:rsid w:val="005D3FE7"/>
    <w:rsid w:val="005D74F1"/>
    <w:rsid w:val="005E4A65"/>
    <w:rsid w:val="005F01C9"/>
    <w:rsid w:val="005F518A"/>
    <w:rsid w:val="006078A8"/>
    <w:rsid w:val="006104F4"/>
    <w:rsid w:val="0061661D"/>
    <w:rsid w:val="00623709"/>
    <w:rsid w:val="00623D08"/>
    <w:rsid w:val="00634259"/>
    <w:rsid w:val="006403A8"/>
    <w:rsid w:val="006412FB"/>
    <w:rsid w:val="00650815"/>
    <w:rsid w:val="0065197E"/>
    <w:rsid w:val="00653A7C"/>
    <w:rsid w:val="00654B5A"/>
    <w:rsid w:val="00660ABF"/>
    <w:rsid w:val="00660C28"/>
    <w:rsid w:val="0066182C"/>
    <w:rsid w:val="00662952"/>
    <w:rsid w:val="00664B8A"/>
    <w:rsid w:val="00665D99"/>
    <w:rsid w:val="00666A28"/>
    <w:rsid w:val="006676BD"/>
    <w:rsid w:val="006679B1"/>
    <w:rsid w:val="00676512"/>
    <w:rsid w:val="00686BF3"/>
    <w:rsid w:val="00692433"/>
    <w:rsid w:val="00692DC6"/>
    <w:rsid w:val="00693BE8"/>
    <w:rsid w:val="00693EC4"/>
    <w:rsid w:val="00694123"/>
    <w:rsid w:val="00694993"/>
    <w:rsid w:val="006949BA"/>
    <w:rsid w:val="00695411"/>
    <w:rsid w:val="006A0A8A"/>
    <w:rsid w:val="006A2E9A"/>
    <w:rsid w:val="006A3B09"/>
    <w:rsid w:val="006A635E"/>
    <w:rsid w:val="006B1E44"/>
    <w:rsid w:val="006B614F"/>
    <w:rsid w:val="006B63D0"/>
    <w:rsid w:val="006C4D84"/>
    <w:rsid w:val="006C5EF5"/>
    <w:rsid w:val="006C6435"/>
    <w:rsid w:val="006D19A0"/>
    <w:rsid w:val="006D19ED"/>
    <w:rsid w:val="006D3DF6"/>
    <w:rsid w:val="006D48BD"/>
    <w:rsid w:val="006D730B"/>
    <w:rsid w:val="006D7B8A"/>
    <w:rsid w:val="006E6781"/>
    <w:rsid w:val="006E6E5B"/>
    <w:rsid w:val="006F1907"/>
    <w:rsid w:val="006F4593"/>
    <w:rsid w:val="006F4CE1"/>
    <w:rsid w:val="00706852"/>
    <w:rsid w:val="0071485D"/>
    <w:rsid w:val="0071529E"/>
    <w:rsid w:val="00717302"/>
    <w:rsid w:val="00721AA5"/>
    <w:rsid w:val="00724E79"/>
    <w:rsid w:val="00733014"/>
    <w:rsid w:val="00734DC3"/>
    <w:rsid w:val="00736E4F"/>
    <w:rsid w:val="007400A0"/>
    <w:rsid w:val="00742F1F"/>
    <w:rsid w:val="00744898"/>
    <w:rsid w:val="00744C60"/>
    <w:rsid w:val="007466C4"/>
    <w:rsid w:val="0074673E"/>
    <w:rsid w:val="007606D4"/>
    <w:rsid w:val="007645D2"/>
    <w:rsid w:val="0076499C"/>
    <w:rsid w:val="007727C2"/>
    <w:rsid w:val="007812B3"/>
    <w:rsid w:val="007815DB"/>
    <w:rsid w:val="00781897"/>
    <w:rsid w:val="00782CED"/>
    <w:rsid w:val="0078586F"/>
    <w:rsid w:val="0078605B"/>
    <w:rsid w:val="007867D0"/>
    <w:rsid w:val="00791B90"/>
    <w:rsid w:val="007941EA"/>
    <w:rsid w:val="00795F75"/>
    <w:rsid w:val="0079692A"/>
    <w:rsid w:val="007A0EE6"/>
    <w:rsid w:val="007A36A7"/>
    <w:rsid w:val="007A4526"/>
    <w:rsid w:val="007B2070"/>
    <w:rsid w:val="007B6124"/>
    <w:rsid w:val="007B6FBA"/>
    <w:rsid w:val="007D2C06"/>
    <w:rsid w:val="007D488D"/>
    <w:rsid w:val="007D5BBD"/>
    <w:rsid w:val="007E715A"/>
    <w:rsid w:val="007F5CD0"/>
    <w:rsid w:val="007F61F9"/>
    <w:rsid w:val="00803CD5"/>
    <w:rsid w:val="00811748"/>
    <w:rsid w:val="008121C5"/>
    <w:rsid w:val="0082095D"/>
    <w:rsid w:val="00824C25"/>
    <w:rsid w:val="0082602A"/>
    <w:rsid w:val="00826511"/>
    <w:rsid w:val="00835393"/>
    <w:rsid w:val="00837201"/>
    <w:rsid w:val="00840099"/>
    <w:rsid w:val="0084288B"/>
    <w:rsid w:val="00845E25"/>
    <w:rsid w:val="00854A7A"/>
    <w:rsid w:val="00854F6D"/>
    <w:rsid w:val="00861D8F"/>
    <w:rsid w:val="00862546"/>
    <w:rsid w:val="00862F66"/>
    <w:rsid w:val="008724E1"/>
    <w:rsid w:val="00872DA7"/>
    <w:rsid w:val="00882F05"/>
    <w:rsid w:val="00883235"/>
    <w:rsid w:val="008841BD"/>
    <w:rsid w:val="008848DF"/>
    <w:rsid w:val="00884A07"/>
    <w:rsid w:val="00890B1C"/>
    <w:rsid w:val="00890C72"/>
    <w:rsid w:val="00895D49"/>
    <w:rsid w:val="00897511"/>
    <w:rsid w:val="008A25C5"/>
    <w:rsid w:val="008A36B8"/>
    <w:rsid w:val="008A5F33"/>
    <w:rsid w:val="008A6779"/>
    <w:rsid w:val="008C4D98"/>
    <w:rsid w:val="008C5496"/>
    <w:rsid w:val="008C5856"/>
    <w:rsid w:val="008C77F2"/>
    <w:rsid w:val="008C78FA"/>
    <w:rsid w:val="008D00CC"/>
    <w:rsid w:val="008D0F61"/>
    <w:rsid w:val="008D1A53"/>
    <w:rsid w:val="008F1A85"/>
    <w:rsid w:val="008F4209"/>
    <w:rsid w:val="008F5535"/>
    <w:rsid w:val="008F62B8"/>
    <w:rsid w:val="00906692"/>
    <w:rsid w:val="00912C97"/>
    <w:rsid w:val="00924889"/>
    <w:rsid w:val="0093097E"/>
    <w:rsid w:val="00931B7B"/>
    <w:rsid w:val="0093226A"/>
    <w:rsid w:val="009322A7"/>
    <w:rsid w:val="00933A63"/>
    <w:rsid w:val="009349F5"/>
    <w:rsid w:val="00935A80"/>
    <w:rsid w:val="00942AE8"/>
    <w:rsid w:val="00947006"/>
    <w:rsid w:val="009509D9"/>
    <w:rsid w:val="00954627"/>
    <w:rsid w:val="009562E7"/>
    <w:rsid w:val="00957B48"/>
    <w:rsid w:val="00964B77"/>
    <w:rsid w:val="00967BC6"/>
    <w:rsid w:val="00974748"/>
    <w:rsid w:val="00977F9E"/>
    <w:rsid w:val="009813F9"/>
    <w:rsid w:val="00981DA8"/>
    <w:rsid w:val="009845D1"/>
    <w:rsid w:val="00984643"/>
    <w:rsid w:val="009873AB"/>
    <w:rsid w:val="009900D0"/>
    <w:rsid w:val="00993194"/>
    <w:rsid w:val="00997AF0"/>
    <w:rsid w:val="009A2834"/>
    <w:rsid w:val="009A4FDB"/>
    <w:rsid w:val="009A5804"/>
    <w:rsid w:val="009A6578"/>
    <w:rsid w:val="009B04A3"/>
    <w:rsid w:val="009B6A4F"/>
    <w:rsid w:val="009C6725"/>
    <w:rsid w:val="009D11F6"/>
    <w:rsid w:val="009D6EE8"/>
    <w:rsid w:val="009D71EF"/>
    <w:rsid w:val="009E0213"/>
    <w:rsid w:val="009E0A1D"/>
    <w:rsid w:val="009E6889"/>
    <w:rsid w:val="009F175A"/>
    <w:rsid w:val="009F6CD5"/>
    <w:rsid w:val="00A05F04"/>
    <w:rsid w:val="00A115E4"/>
    <w:rsid w:val="00A12015"/>
    <w:rsid w:val="00A1238D"/>
    <w:rsid w:val="00A1471A"/>
    <w:rsid w:val="00A17830"/>
    <w:rsid w:val="00A21F15"/>
    <w:rsid w:val="00A220C2"/>
    <w:rsid w:val="00A27CEA"/>
    <w:rsid w:val="00A32A82"/>
    <w:rsid w:val="00A32B83"/>
    <w:rsid w:val="00A36EC2"/>
    <w:rsid w:val="00A36FFC"/>
    <w:rsid w:val="00A5664E"/>
    <w:rsid w:val="00A63038"/>
    <w:rsid w:val="00A65B4C"/>
    <w:rsid w:val="00A65F52"/>
    <w:rsid w:val="00A72445"/>
    <w:rsid w:val="00A73FC1"/>
    <w:rsid w:val="00AC4A6B"/>
    <w:rsid w:val="00AD056F"/>
    <w:rsid w:val="00AD50BD"/>
    <w:rsid w:val="00AD5DEB"/>
    <w:rsid w:val="00AD699D"/>
    <w:rsid w:val="00AE515A"/>
    <w:rsid w:val="00AE79E9"/>
    <w:rsid w:val="00AF0158"/>
    <w:rsid w:val="00AF022E"/>
    <w:rsid w:val="00AF2579"/>
    <w:rsid w:val="00AF54AD"/>
    <w:rsid w:val="00B13270"/>
    <w:rsid w:val="00B17D66"/>
    <w:rsid w:val="00B239DE"/>
    <w:rsid w:val="00B23AA4"/>
    <w:rsid w:val="00B268FE"/>
    <w:rsid w:val="00B271E9"/>
    <w:rsid w:val="00B305A7"/>
    <w:rsid w:val="00B36F62"/>
    <w:rsid w:val="00B37A78"/>
    <w:rsid w:val="00B50E9E"/>
    <w:rsid w:val="00B53877"/>
    <w:rsid w:val="00B53B0D"/>
    <w:rsid w:val="00B543C1"/>
    <w:rsid w:val="00B545F5"/>
    <w:rsid w:val="00B56FE8"/>
    <w:rsid w:val="00B60476"/>
    <w:rsid w:val="00B6064D"/>
    <w:rsid w:val="00B6634E"/>
    <w:rsid w:val="00B718F9"/>
    <w:rsid w:val="00B7249D"/>
    <w:rsid w:val="00B74672"/>
    <w:rsid w:val="00B84673"/>
    <w:rsid w:val="00B87C55"/>
    <w:rsid w:val="00B925E0"/>
    <w:rsid w:val="00B93562"/>
    <w:rsid w:val="00B95E74"/>
    <w:rsid w:val="00BA0366"/>
    <w:rsid w:val="00BA0405"/>
    <w:rsid w:val="00BA3BCD"/>
    <w:rsid w:val="00BA6838"/>
    <w:rsid w:val="00BB5354"/>
    <w:rsid w:val="00BC0C29"/>
    <w:rsid w:val="00BD0783"/>
    <w:rsid w:val="00BD434E"/>
    <w:rsid w:val="00BD4D30"/>
    <w:rsid w:val="00BD5C57"/>
    <w:rsid w:val="00BD7473"/>
    <w:rsid w:val="00BD78A5"/>
    <w:rsid w:val="00BE20F1"/>
    <w:rsid w:val="00BE3597"/>
    <w:rsid w:val="00BE714C"/>
    <w:rsid w:val="00BF1B78"/>
    <w:rsid w:val="00BF6A9A"/>
    <w:rsid w:val="00C04BF2"/>
    <w:rsid w:val="00C06DE4"/>
    <w:rsid w:val="00C07245"/>
    <w:rsid w:val="00C10BA3"/>
    <w:rsid w:val="00C1213D"/>
    <w:rsid w:val="00C176F1"/>
    <w:rsid w:val="00C21B96"/>
    <w:rsid w:val="00C21E65"/>
    <w:rsid w:val="00C24CF5"/>
    <w:rsid w:val="00C265ED"/>
    <w:rsid w:val="00C34E08"/>
    <w:rsid w:val="00C5019E"/>
    <w:rsid w:val="00C54E21"/>
    <w:rsid w:val="00C55AB2"/>
    <w:rsid w:val="00C610B4"/>
    <w:rsid w:val="00C61B28"/>
    <w:rsid w:val="00C64700"/>
    <w:rsid w:val="00C66797"/>
    <w:rsid w:val="00C66BD6"/>
    <w:rsid w:val="00C71300"/>
    <w:rsid w:val="00C77049"/>
    <w:rsid w:val="00C847F6"/>
    <w:rsid w:val="00C86EFA"/>
    <w:rsid w:val="00CB0F39"/>
    <w:rsid w:val="00CB60A9"/>
    <w:rsid w:val="00CC0432"/>
    <w:rsid w:val="00CC66CA"/>
    <w:rsid w:val="00CD2596"/>
    <w:rsid w:val="00CD2787"/>
    <w:rsid w:val="00CD409B"/>
    <w:rsid w:val="00CD5083"/>
    <w:rsid w:val="00CE088A"/>
    <w:rsid w:val="00CE1BB6"/>
    <w:rsid w:val="00CE2BCC"/>
    <w:rsid w:val="00CE67ED"/>
    <w:rsid w:val="00CE7C4D"/>
    <w:rsid w:val="00CF073F"/>
    <w:rsid w:val="00D0345C"/>
    <w:rsid w:val="00D0409D"/>
    <w:rsid w:val="00D058D1"/>
    <w:rsid w:val="00D05D1A"/>
    <w:rsid w:val="00D07955"/>
    <w:rsid w:val="00D11791"/>
    <w:rsid w:val="00D136C0"/>
    <w:rsid w:val="00D154A7"/>
    <w:rsid w:val="00D216AE"/>
    <w:rsid w:val="00D25673"/>
    <w:rsid w:val="00D266D8"/>
    <w:rsid w:val="00D27F37"/>
    <w:rsid w:val="00D3223E"/>
    <w:rsid w:val="00D331E3"/>
    <w:rsid w:val="00D33DF2"/>
    <w:rsid w:val="00D4076D"/>
    <w:rsid w:val="00D4212D"/>
    <w:rsid w:val="00D459BE"/>
    <w:rsid w:val="00D46B5A"/>
    <w:rsid w:val="00D5040C"/>
    <w:rsid w:val="00D525A8"/>
    <w:rsid w:val="00D60EFE"/>
    <w:rsid w:val="00D615D2"/>
    <w:rsid w:val="00D657C1"/>
    <w:rsid w:val="00D70D1B"/>
    <w:rsid w:val="00D748C8"/>
    <w:rsid w:val="00D8705C"/>
    <w:rsid w:val="00D954E3"/>
    <w:rsid w:val="00DB2144"/>
    <w:rsid w:val="00DB3B5E"/>
    <w:rsid w:val="00DB51AD"/>
    <w:rsid w:val="00DB7AE8"/>
    <w:rsid w:val="00DB7E0D"/>
    <w:rsid w:val="00DC2046"/>
    <w:rsid w:val="00DC45FB"/>
    <w:rsid w:val="00DC63EF"/>
    <w:rsid w:val="00DC69B2"/>
    <w:rsid w:val="00DC7085"/>
    <w:rsid w:val="00DC7A82"/>
    <w:rsid w:val="00DD0300"/>
    <w:rsid w:val="00DD1F96"/>
    <w:rsid w:val="00DD58CB"/>
    <w:rsid w:val="00DE2150"/>
    <w:rsid w:val="00DF2214"/>
    <w:rsid w:val="00DF5FEE"/>
    <w:rsid w:val="00E01681"/>
    <w:rsid w:val="00E01EA0"/>
    <w:rsid w:val="00E06505"/>
    <w:rsid w:val="00E13DD6"/>
    <w:rsid w:val="00E27766"/>
    <w:rsid w:val="00E343B0"/>
    <w:rsid w:val="00E34E05"/>
    <w:rsid w:val="00E3590F"/>
    <w:rsid w:val="00E6536F"/>
    <w:rsid w:val="00E67755"/>
    <w:rsid w:val="00E7589C"/>
    <w:rsid w:val="00E76926"/>
    <w:rsid w:val="00E7792B"/>
    <w:rsid w:val="00E83BED"/>
    <w:rsid w:val="00E97E94"/>
    <w:rsid w:val="00EA2E1D"/>
    <w:rsid w:val="00EA5542"/>
    <w:rsid w:val="00EA7F98"/>
    <w:rsid w:val="00EB0406"/>
    <w:rsid w:val="00EC4E5F"/>
    <w:rsid w:val="00EC6167"/>
    <w:rsid w:val="00EE05C0"/>
    <w:rsid w:val="00EF3DE1"/>
    <w:rsid w:val="00EF4287"/>
    <w:rsid w:val="00EF5597"/>
    <w:rsid w:val="00F0197F"/>
    <w:rsid w:val="00F026F2"/>
    <w:rsid w:val="00F03799"/>
    <w:rsid w:val="00F04B4C"/>
    <w:rsid w:val="00F058AC"/>
    <w:rsid w:val="00F101E5"/>
    <w:rsid w:val="00F1036B"/>
    <w:rsid w:val="00F10608"/>
    <w:rsid w:val="00F20B10"/>
    <w:rsid w:val="00F230F5"/>
    <w:rsid w:val="00F244CC"/>
    <w:rsid w:val="00F2525B"/>
    <w:rsid w:val="00F2750F"/>
    <w:rsid w:val="00F31E09"/>
    <w:rsid w:val="00F3500F"/>
    <w:rsid w:val="00F432CB"/>
    <w:rsid w:val="00F62AE8"/>
    <w:rsid w:val="00F637FA"/>
    <w:rsid w:val="00F64442"/>
    <w:rsid w:val="00F744D7"/>
    <w:rsid w:val="00F80E62"/>
    <w:rsid w:val="00F823AD"/>
    <w:rsid w:val="00F84CBB"/>
    <w:rsid w:val="00F900C9"/>
    <w:rsid w:val="00F91D5B"/>
    <w:rsid w:val="00F96B57"/>
    <w:rsid w:val="00FA009F"/>
    <w:rsid w:val="00FA17EA"/>
    <w:rsid w:val="00FA4291"/>
    <w:rsid w:val="00FA51FA"/>
    <w:rsid w:val="00FA6CF4"/>
    <w:rsid w:val="00FA6EAC"/>
    <w:rsid w:val="00FB04CA"/>
    <w:rsid w:val="00FB46C9"/>
    <w:rsid w:val="00FC14E5"/>
    <w:rsid w:val="00FC1B3B"/>
    <w:rsid w:val="00FC4157"/>
    <w:rsid w:val="00FC5219"/>
    <w:rsid w:val="00FC600C"/>
    <w:rsid w:val="00FE14E4"/>
    <w:rsid w:val="00FE3045"/>
    <w:rsid w:val="00FE5AEB"/>
    <w:rsid w:val="00FE5E50"/>
    <w:rsid w:val="00FF109A"/>
    <w:rsid w:val="02986FEA"/>
    <w:rsid w:val="116D7A5E"/>
    <w:rsid w:val="196745DD"/>
    <w:rsid w:val="1F21173F"/>
    <w:rsid w:val="1F694931"/>
    <w:rsid w:val="21487CBD"/>
    <w:rsid w:val="274556D9"/>
    <w:rsid w:val="2DE74177"/>
    <w:rsid w:val="3FBB0422"/>
    <w:rsid w:val="4CF415EE"/>
    <w:rsid w:val="5346431E"/>
    <w:rsid w:val="57E0232A"/>
    <w:rsid w:val="59FE16E6"/>
    <w:rsid w:val="66216C1E"/>
    <w:rsid w:val="6834516C"/>
    <w:rsid w:val="763F3213"/>
    <w:rsid w:val="79C0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4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Body Text Indent 2"/>
    <w:basedOn w:val="1"/>
    <w:link w:val="17"/>
    <w:unhideWhenUsed/>
    <w:qFormat/>
    <w:uiPriority w:val="99"/>
    <w:pPr>
      <w:spacing w:after="120" w:line="480" w:lineRule="auto"/>
      <w:ind w:left="283"/>
    </w:p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customStyle="1" w:styleId="17">
    <w:name w:val="Основной текст с отступом 2 Знак"/>
    <w:basedOn w:val="3"/>
    <w:link w:val="11"/>
    <w:qFormat/>
    <w:uiPriority w:val="99"/>
  </w:style>
  <w:style w:type="paragraph" w:customStyle="1" w:styleId="18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cs="Courier New" w:eastAsiaTheme="minorHAnsi"/>
      <w:lang w:val="ru-RU" w:eastAsia="en-US" w:bidi="ar-SA"/>
    </w:rPr>
  </w:style>
  <w:style w:type="paragraph" w:customStyle="1" w:styleId="19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customStyle="1" w:styleId="20">
    <w:name w:val="Верхний колонтитул Знак"/>
    <w:basedOn w:val="3"/>
    <w:link w:val="7"/>
    <w:qFormat/>
    <w:uiPriority w:val="99"/>
  </w:style>
  <w:style w:type="character" w:customStyle="1" w:styleId="21">
    <w:name w:val="Нижний колонтитул Знак"/>
    <w:basedOn w:val="3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C082-6FE2-4032-8430-403D9B672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4469</Words>
  <Characters>25475</Characters>
  <Lines>212</Lines>
  <Paragraphs>59</Paragraphs>
  <TotalTime>21</TotalTime>
  <ScaleCrop>false</ScaleCrop>
  <LinksUpToDate>false</LinksUpToDate>
  <CharactersWithSpaces>29885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2015-02-06T06:05:00Z</dcterms:created>
  <dc:creator>KSP1</dc:creator>
  <cp:lastModifiedBy>y_zhuravleva</cp:lastModifiedBy>
  <cp:lastPrinted>2022-04-11T12:21:00Z</cp:lastPrinted>
  <dcterms:modified xsi:type="dcterms:W3CDTF">2023-04-14T11:26:53Z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C6FAD14541F14887A8195FC9DD9CFCC2</vt:lpwstr>
  </property>
</Properties>
</file>