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EE54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КОНТРОЛЬНО - СЧЕТНАЯ ПАЛАТА МУНИЦИПАЛЬНОГО ОБРАЗОВАНИЯ </w:t>
      </w:r>
    </w:p>
    <w:p w14:paraId="328481D5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«АХТУБИНСКИЙ РАЙОН»</w:t>
      </w:r>
    </w:p>
    <w:p w14:paraId="5DF7C41A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C710A1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Волгоградская ул., д.141, г. Ахтубинск, Астраханская обл.,416500, Тел.(8-85141) 4-04-24 ОКПО 78317643, ОГРН 1063022000282, ИНН/КПП 3001040259/300101001</w:t>
      </w:r>
    </w:p>
    <w:p w14:paraId="10CE768D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B5D1C6">
      <w:pPr>
        <w:pBdr>
          <w:top w:val="thinThickSmallGap" w:color="auto" w:sz="24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D9D58D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</w:t>
      </w:r>
    </w:p>
    <w:p w14:paraId="196C0B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результатам внешней проверки годовой бюджетной отчетности</w:t>
      </w:r>
    </w:p>
    <w:p w14:paraId="70A424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Совета муниципального образования «Ахтубинский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муниципальный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Астраханской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» за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 w14:paraId="0AB6FA8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pPr>
    </w:p>
    <w:p w14:paraId="67A5193B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18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.04.202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г.                                                                                                                 №З-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5</w:t>
      </w:r>
    </w:p>
    <w:p w14:paraId="7540DD73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</w:p>
    <w:p w14:paraId="2F791F58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Основание для проведения контрольного мероприятия: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 264.4 Бюджетного кодекса Российской Федерации, п.3.1. План работы Контрольно-счетной палаты муниципального образования «Ахтубинский муниципальный район Астраханской области» на 2025 год, распоряжение Контрольно-счетной палаты муниципального образования «Ахтубинский муниципальный район Астраханской области» от 20.03.2025 г. №10-р.</w:t>
      </w:r>
    </w:p>
    <w:p w14:paraId="30523297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Целью проведения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внешней проверки являются:</w:t>
      </w:r>
    </w:p>
    <w:p w14:paraId="34248080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установление полноты бюджетной отчетности главных администраторов средств районного бюджета;</w:t>
      </w:r>
    </w:p>
    <w:p w14:paraId="0B506007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оценка достоверности показателей бюджетной отчетности главных администраторов средств районного бюджета;</w:t>
      </w:r>
    </w:p>
    <w:p w14:paraId="3EA64BFD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14:paraId="6ECBAC79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анализ эффективности и результативности использования бюджетных средств.</w:t>
      </w:r>
    </w:p>
    <w:p w14:paraId="694F39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D2D2D"/>
          <w:spacing w:val="2"/>
          <w:sz w:val="24"/>
          <w:szCs w:val="24"/>
          <w:lang w:eastAsia="ru-RU"/>
        </w:rPr>
        <w:t>Проверяемый период: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2024 год.</w:t>
      </w:r>
    </w:p>
    <w:p w14:paraId="3ACC97AB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Предметом внешней проверки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годовая бюджетная отчетность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Совета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муниципального образования «Ахтубинский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2024 год.</w:t>
      </w:r>
    </w:p>
    <w:p w14:paraId="049D4486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Метод проведения проверки: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>камеральный, выборочный.</w:t>
      </w:r>
    </w:p>
    <w:p w14:paraId="627DA319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Срок проведения контрольного мероприятия: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>с 2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0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.03.2025 г. по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19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>.04.2025 г.</w:t>
      </w:r>
    </w:p>
    <w:p w14:paraId="44B3195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Ответственные должностные лица, подписавшие отчетность:</w:t>
      </w:r>
    </w:p>
    <w:p w14:paraId="4F0434DA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Руководитель – Новак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 xml:space="preserve"> С.Н.</w:t>
      </w:r>
    </w:p>
    <w:p w14:paraId="2DC69C0C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Ведущий бухгалтер – Федянина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О.А.</w:t>
      </w:r>
    </w:p>
    <w:p w14:paraId="05C17CE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Исполнитель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контрольного мероприятия: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председатель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 Контрольно-счетной палаты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Журавлева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 xml:space="preserve"> Ю.Ю.</w:t>
      </w:r>
    </w:p>
    <w:p w14:paraId="0E02DB3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Применяемые сокращения:</w:t>
      </w:r>
    </w:p>
    <w:p w14:paraId="6CD2E69C">
      <w:pPr>
        <w:spacing w:after="0" w:line="240" w:lineRule="auto"/>
        <w:ind w:firstLine="488" w:firstLineChars="200"/>
        <w:jc w:val="both"/>
        <w:rPr>
          <w:rFonts w:ascii="Times New Roman" w:hAnsi="Times New Roman" w:eastAsia="Times New Roman" w:cs="Times New Roman"/>
          <w:i/>
          <w:i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rFonts w:ascii="Times New Roman" w:hAnsi="Times New Roman" w:eastAsia="Times New Roman" w:cs="Times New Roman"/>
          <w:i/>
          <w:iCs/>
          <w:color w:val="2D2D2D"/>
          <w:spacing w:val="2"/>
          <w:sz w:val="24"/>
          <w:szCs w:val="24"/>
          <w:lang w:eastAsia="ru-RU"/>
        </w:rPr>
        <w:t>Контрольно-счетная палата, КСП МО «Ахтубинский район»;</w:t>
      </w:r>
    </w:p>
    <w:p w14:paraId="660AE0F3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Совет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муниципального образования «Ахтубинский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Совет;</w:t>
      </w:r>
    </w:p>
    <w:p w14:paraId="13AC4A11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«Ахтубинский муниципальный район Астраханской области» -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Администрация МО «Ахтубинский район»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;</w:t>
      </w:r>
    </w:p>
    <w:p w14:paraId="228F8554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Приказ финансового управления администрации муниципального образования «Ахтубинский муниципальный район Астраханской области» «О внесении изменений в сводную бюджетную роспись бюджета муниципального образования «Ахтубинский муниципальный район Астраханской области» на 2024 год и плановый период 2025 и 2026 годов» от 28.12.2024 г. №180-С -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сводная бюджетная роспись от 28.12.2024 г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2BE53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79" w:firstLine="480" w:firstLineChars="200"/>
        <w:jc w:val="both"/>
        <w:textAlignment w:val="auto"/>
        <w:rPr>
          <w:rFonts w:ascii="Times New Roman" w:hAnsi="Times New Roman" w:eastAsiaTheme="minorHAnsi" w:cstheme="minorBidi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 w:cstheme="minorBidi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  <w:t>Основанием для проведения внешней проверки годового отчета за 2024 год являются следующие нормативные правовые акты:</w:t>
      </w:r>
    </w:p>
    <w:p w14:paraId="79F4D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7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Бюджетный кодекс Российской Федерации (далее – БК РФ);</w:t>
      </w:r>
    </w:p>
    <w:p w14:paraId="208F78C2">
      <w:pPr>
        <w:pStyle w:val="15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Порядок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16.03.2017г №295); </w:t>
      </w:r>
    </w:p>
    <w:p w14:paraId="6B143E2E">
      <w:pPr>
        <w:pStyle w:val="15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</w:p>
    <w:p w14:paraId="0AC81349">
      <w:pPr>
        <w:pStyle w:val="15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14:paraId="7FA6ACDD">
      <w:pPr>
        <w:pStyle w:val="15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№162н).</w:t>
      </w:r>
    </w:p>
    <w:p w14:paraId="3B33E6BE">
      <w:pPr>
        <w:pStyle w:val="15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(далее - Приказ от 31.12.2016 №257н);</w:t>
      </w:r>
    </w:p>
    <w:p w14:paraId="773AFA5A">
      <w:pPr>
        <w:pStyle w:val="15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Приказ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от 15.04.2021 №61н)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.</w:t>
      </w:r>
    </w:p>
    <w:p w14:paraId="487C829C">
      <w:pPr>
        <w:pStyle w:val="15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</w:p>
    <w:p w14:paraId="0C99F2B9"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сведения</w:t>
      </w:r>
    </w:p>
    <w:p w14:paraId="16344ABA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Полное наименование: Совет муниципального образования «Ахтубинский муниципальный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район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(далее - Совет).</w:t>
      </w:r>
    </w:p>
    <w:p w14:paraId="184A0EB8"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416500 Россия, Астраханская область, г. Ахтубинск, ул. Волгоградская, 141.</w:t>
      </w:r>
    </w:p>
    <w:p w14:paraId="3D8832A2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(85141) 4-04-15, 4-04-16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74BAFF34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sovet.mo.ahtubinskij.raion@yandex.ru</w:t>
      </w:r>
    </w:p>
    <w:p w14:paraId="587A60A7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ИНН/КПП: 3001039870 / 300101001.</w:t>
      </w:r>
    </w:p>
    <w:p w14:paraId="2B36077A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Совету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 лицевой счет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Территориальном отделе №9 Управления Федерального казначейства по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действующий в проверяемом периоде и на момент проверки:</w:t>
      </w:r>
    </w:p>
    <w:tbl>
      <w:tblPr>
        <w:tblStyle w:val="4"/>
        <w:tblW w:w="93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2"/>
        <w:gridCol w:w="7113"/>
      </w:tblGrid>
      <w:tr w14:paraId="5912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D8A2D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</w:t>
            </w:r>
          </w:p>
          <w:p w14:paraId="787BB88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AADD9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316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Назначение счета</w:t>
            </w:r>
          </w:p>
        </w:tc>
      </w:tr>
      <w:tr w14:paraId="36D96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DEF2E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7F9A3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03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03960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B877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счет ПБС</w:t>
            </w:r>
          </w:p>
        </w:tc>
      </w:tr>
    </w:tbl>
    <w:p w14:paraId="19AC5B2E">
      <w:pPr>
        <w:widowControl w:val="0"/>
        <w:suppressAutoHyphens/>
        <w:overflowPunct w:val="0"/>
        <w:spacing w:before="12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Ответственными должностными лицами за финансово - хозяйственную деятельность Совета в проверяемом периоде являлись с правом:</w:t>
      </w:r>
    </w:p>
    <w:p w14:paraId="5012E8C1"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первой подписи:</w:t>
      </w:r>
    </w:p>
    <w:p w14:paraId="66DE9FCD">
      <w:pPr>
        <w:pStyle w:val="10"/>
        <w:spacing w:before="0" w:beforeAutospacing="0" w:afterAutospacing="0"/>
        <w:jc w:val="both"/>
      </w:pPr>
      <w:r>
        <w:t xml:space="preserve">- Председатель Совета муниципального образования «Ахтубинский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район астраханской области</w:t>
      </w:r>
      <w:r>
        <w:t xml:space="preserve">» - Архипов Вячеслав Иванович назначен на должность с 30.09.2019г. </w:t>
      </w:r>
      <w:r>
        <w:rPr>
          <w:lang w:val="ru-RU"/>
        </w:rPr>
        <w:t>до</w:t>
      </w:r>
      <w:r>
        <w:rPr>
          <w:rFonts w:hint="default"/>
          <w:lang w:val="ru-RU"/>
        </w:rPr>
        <w:t xml:space="preserve"> 01.10.2024 г.</w:t>
      </w:r>
      <w:r>
        <w:t xml:space="preserve"> (Решение Совета МО «Ахтубинский район» от 30.09.2019 г. №1);</w:t>
      </w:r>
    </w:p>
    <w:p w14:paraId="7EF1D694">
      <w:pPr>
        <w:pStyle w:val="10"/>
        <w:spacing w:before="0" w:beforeAutospacing="0" w:afterAutospacing="0"/>
        <w:jc w:val="both"/>
      </w:pPr>
      <w:r>
        <w:t xml:space="preserve">- </w:t>
      </w:r>
      <w:r>
        <w:rPr>
          <w:lang w:val="ru-RU"/>
        </w:rPr>
        <w:t>Новак</w:t>
      </w:r>
      <w:r>
        <w:rPr>
          <w:rFonts w:hint="default"/>
          <w:lang w:val="ru-RU"/>
        </w:rPr>
        <w:t xml:space="preserve"> Сергей Николаевич</w:t>
      </w:r>
      <w:r>
        <w:t xml:space="preserve"> назначен на должность с </w:t>
      </w:r>
      <w:r>
        <w:rPr>
          <w:rFonts w:hint="default"/>
          <w:lang w:val="ru-RU"/>
        </w:rPr>
        <w:t>02.10</w:t>
      </w:r>
      <w:r>
        <w:t>.20</w:t>
      </w:r>
      <w:r>
        <w:rPr>
          <w:rFonts w:hint="default"/>
          <w:lang w:val="ru-RU"/>
        </w:rPr>
        <w:t xml:space="preserve">24 </w:t>
      </w:r>
      <w:r>
        <w:t xml:space="preserve">г.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настоящее время</w:t>
      </w:r>
      <w:r>
        <w:t xml:space="preserve"> (Решение Совета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образования</w:t>
      </w:r>
      <w:r>
        <w:t xml:space="preserve"> «Ахтубинский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</w:t>
      </w:r>
      <w:r>
        <w:t>район</w:t>
      </w:r>
      <w:r>
        <w:rPr>
          <w:rFonts w:hint="default"/>
          <w:lang w:val="ru-RU"/>
        </w:rPr>
        <w:t xml:space="preserve"> Астраханской области</w:t>
      </w:r>
      <w:r>
        <w:t xml:space="preserve">» от </w:t>
      </w:r>
      <w:r>
        <w:rPr>
          <w:rFonts w:hint="default"/>
          <w:lang w:val="ru-RU"/>
        </w:rPr>
        <w:t>02.10.2024</w:t>
      </w:r>
      <w:r>
        <w:t xml:space="preserve"> г. №1);</w:t>
      </w:r>
    </w:p>
    <w:p w14:paraId="5996F715"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второй подписи:</w:t>
      </w:r>
    </w:p>
    <w:p w14:paraId="43A90659">
      <w:pPr>
        <w:pStyle w:val="10"/>
        <w:spacing w:before="0" w:beforeAutospacing="0" w:afterAutospacing="0"/>
        <w:jc w:val="both"/>
        <w:rPr>
          <w:highlight w:val="none"/>
        </w:rPr>
      </w:pPr>
      <w:r>
        <w:rPr>
          <w:highlight w:val="none"/>
        </w:rPr>
        <w:t xml:space="preserve">- Ведущий бухгалтер - </w:t>
      </w:r>
      <w:r>
        <w:rPr>
          <w:highlight w:val="none"/>
          <w:lang w:val="ru-RU"/>
        </w:rPr>
        <w:t>Федянина</w:t>
      </w:r>
      <w:r>
        <w:rPr>
          <w:rFonts w:hint="default"/>
          <w:highlight w:val="none"/>
          <w:lang w:val="ru-RU"/>
        </w:rPr>
        <w:t xml:space="preserve"> Ольга Александровна</w:t>
      </w:r>
      <w:r>
        <w:rPr>
          <w:highlight w:val="none"/>
        </w:rPr>
        <w:t xml:space="preserve"> назначена на должность </w:t>
      </w:r>
      <w:r>
        <w:rPr>
          <w:rFonts w:hint="default"/>
          <w:highlight w:val="none"/>
          <w:lang w:val="ru-RU"/>
        </w:rPr>
        <w:t>01.02.2024</w:t>
      </w:r>
      <w:r>
        <w:rPr>
          <w:highlight w:val="none"/>
        </w:rPr>
        <w:t xml:space="preserve"> г. по настоящее время (Распоряжение Совета от </w:t>
      </w:r>
      <w:r>
        <w:rPr>
          <w:rFonts w:hint="default"/>
          <w:highlight w:val="none"/>
          <w:lang w:val="ru-RU"/>
        </w:rPr>
        <w:t>01.02.2024</w:t>
      </w:r>
      <w:r>
        <w:rPr>
          <w:highlight w:val="none"/>
        </w:rPr>
        <w:t xml:space="preserve"> г. №</w:t>
      </w:r>
      <w:r>
        <w:rPr>
          <w:rFonts w:hint="default"/>
          <w:highlight w:val="none"/>
          <w:lang w:val="ru-RU"/>
        </w:rPr>
        <w:t>6</w:t>
      </w:r>
      <w:r>
        <w:rPr>
          <w:highlight w:val="none"/>
        </w:rPr>
        <w:t xml:space="preserve"> л/с.).</w:t>
      </w:r>
    </w:p>
    <w:p w14:paraId="66EF03D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lang w:eastAsia="zh-CN"/>
        </w:rPr>
      </w:pPr>
      <w:r>
        <w:rPr>
          <w:lang w:eastAsia="zh-CN"/>
        </w:rPr>
        <w:t>В соответствии со ст.264.4 БК РФ, п.3.3. Порядка от 16.03.2017 №295 для ГРБС установлен срок представления годовой отчетности не позднее 20 марта текущего финансового года.</w:t>
      </w:r>
    </w:p>
    <w:p w14:paraId="0CA7D37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lang w:eastAsia="zh-CN"/>
        </w:rPr>
      </w:pPr>
      <w:r>
        <w:rPr>
          <w:lang w:eastAsia="zh-CN"/>
        </w:rPr>
        <w:t xml:space="preserve">Бюджетная отчетность за 2024 год направлена в адрес КСП МО «Ахтубинский район» в соответствии с установленным сроком (письмо от </w:t>
      </w:r>
      <w:r>
        <w:rPr>
          <w:rFonts w:hint="default"/>
          <w:lang w:val="ru-RU" w:eastAsia="zh-CN"/>
        </w:rPr>
        <w:t>20</w:t>
      </w:r>
      <w:r>
        <w:rPr>
          <w:lang w:eastAsia="zh-CN"/>
        </w:rPr>
        <w:t>.03.2025 г. исх. №</w:t>
      </w:r>
      <w:r>
        <w:rPr>
          <w:rFonts w:hint="default"/>
          <w:lang w:val="ru-RU" w:eastAsia="zh-CN"/>
        </w:rPr>
        <w:t>98</w:t>
      </w:r>
      <w:r>
        <w:rPr>
          <w:lang w:eastAsia="zh-CN"/>
        </w:rPr>
        <w:t>).</w:t>
      </w:r>
    </w:p>
    <w:p w14:paraId="29DCB5B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lang w:eastAsia="zh-CN"/>
        </w:rPr>
      </w:pPr>
    </w:p>
    <w:p w14:paraId="373B86E2">
      <w:pPr>
        <w:pStyle w:val="1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годовой бюджетной отчетности</w:t>
      </w:r>
    </w:p>
    <w:p w14:paraId="50FBF28C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Проверка комплектности, соответствия и полноты информации бюджетной отчетности проведена в соответствии с требованиями Инструкции № 191н. </w:t>
      </w:r>
    </w:p>
    <w:p w14:paraId="3B68682E">
      <w:pPr>
        <w:pStyle w:val="1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п.11.1, п.59.1, п.70.1 Инструкции №191н представлена следующая бюджетная отчетность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A8F4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1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26"/>
        <w:gridCol w:w="1711"/>
      </w:tblGrid>
      <w:tr w14:paraId="232D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01F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6" w:type="dxa"/>
            <w:vAlign w:val="center"/>
          </w:tcPr>
          <w:p w14:paraId="4BC0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vAlign w:val="center"/>
          </w:tcPr>
          <w:p w14:paraId="64AAB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14:paraId="1AB7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78EE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6" w:type="dxa"/>
            <w:vAlign w:val="center"/>
          </w:tcPr>
          <w:p w14:paraId="6DECE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711" w:type="dxa"/>
            <w:vAlign w:val="center"/>
          </w:tcPr>
          <w:p w14:paraId="74DE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ф.0503130</w:t>
            </w:r>
          </w:p>
        </w:tc>
      </w:tr>
      <w:tr w14:paraId="54F6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297988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6" w:type="dxa"/>
            <w:vAlign w:val="center"/>
          </w:tcPr>
          <w:p w14:paraId="6B68C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711" w:type="dxa"/>
            <w:vAlign w:val="center"/>
          </w:tcPr>
          <w:p w14:paraId="4A93E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ф.0503110</w:t>
            </w:r>
          </w:p>
        </w:tc>
      </w:tr>
      <w:tr w14:paraId="2D7E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25431D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6" w:type="dxa"/>
            <w:vAlign w:val="center"/>
          </w:tcPr>
          <w:p w14:paraId="2BF6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(ГРБС)</w:t>
            </w:r>
          </w:p>
        </w:tc>
        <w:tc>
          <w:tcPr>
            <w:tcW w:w="1711" w:type="dxa"/>
            <w:vAlign w:val="center"/>
          </w:tcPr>
          <w:p w14:paraId="6E8A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14:paraId="2DCB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6A3451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26" w:type="dxa"/>
            <w:vAlign w:val="center"/>
          </w:tcPr>
          <w:p w14:paraId="28B0F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(ПБС)</w:t>
            </w:r>
          </w:p>
        </w:tc>
        <w:tc>
          <w:tcPr>
            <w:tcW w:w="1711" w:type="dxa"/>
            <w:vAlign w:val="center"/>
          </w:tcPr>
          <w:p w14:paraId="6AEA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14:paraId="670A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5BEA3C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26" w:type="dxa"/>
            <w:vAlign w:val="center"/>
          </w:tcPr>
          <w:p w14:paraId="2A03C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(ГРБС)</w:t>
            </w:r>
          </w:p>
        </w:tc>
        <w:tc>
          <w:tcPr>
            <w:tcW w:w="1711" w:type="dxa"/>
            <w:vAlign w:val="center"/>
          </w:tcPr>
          <w:p w14:paraId="77EED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14:paraId="43E9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50E067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26" w:type="dxa"/>
            <w:vAlign w:val="center"/>
          </w:tcPr>
          <w:p w14:paraId="4D319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назначениях (ПБС)</w:t>
            </w:r>
          </w:p>
        </w:tc>
        <w:tc>
          <w:tcPr>
            <w:tcW w:w="1711" w:type="dxa"/>
            <w:vAlign w:val="center"/>
          </w:tcPr>
          <w:p w14:paraId="0276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14:paraId="7E8B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0373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26" w:type="dxa"/>
            <w:vAlign w:val="center"/>
          </w:tcPr>
          <w:p w14:paraId="05B5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деятельности</w:t>
            </w:r>
          </w:p>
        </w:tc>
        <w:tc>
          <w:tcPr>
            <w:tcW w:w="1711" w:type="dxa"/>
            <w:vAlign w:val="center"/>
          </w:tcPr>
          <w:p w14:paraId="3FD0A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ф.0503121</w:t>
            </w:r>
          </w:p>
        </w:tc>
      </w:tr>
      <w:tr w14:paraId="7177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34C05B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26" w:type="dxa"/>
            <w:vAlign w:val="center"/>
          </w:tcPr>
          <w:p w14:paraId="6CE6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711" w:type="dxa"/>
            <w:vAlign w:val="center"/>
          </w:tcPr>
          <w:p w14:paraId="7E458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"consultantplus://offline/ref=866B7735309E47EE23AA00AC4214A1F2B97FFF0A08BEA69DFC7B609C652D3BC02865D8F8467701640A393B50B260736D7AEDB1DFE2730F67W6o3F"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ф.0503123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C81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0533FA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26" w:type="dxa"/>
            <w:vAlign w:val="center"/>
          </w:tcPr>
          <w:p w14:paraId="30058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711" w:type="dxa"/>
            <w:vAlign w:val="center"/>
          </w:tcPr>
          <w:p w14:paraId="6216A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</w:tr>
    </w:tbl>
    <w:p w14:paraId="285D7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сводной пояснительной записке (ф.0503160) представлены следующие таблицы и приложения:</w:t>
      </w:r>
    </w:p>
    <w:p w14:paraId="49A98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№4 «Сведения об основных положениях учетной политики»;</w:t>
      </w:r>
    </w:p>
    <w:p w14:paraId="3643A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№11 «Сведения об организационной структуре субъекта бюджетной отчетности»;</w:t>
      </w:r>
    </w:p>
    <w:p w14:paraId="7B5A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№12 «</w:t>
      </w:r>
      <w:r>
        <w:rPr>
          <w:rFonts w:ascii="Times New Roman" w:hAnsi="Times New Roman"/>
          <w:sz w:val="24"/>
          <w:szCs w:val="24"/>
        </w:rPr>
        <w:t>Сведения о результатах деятельности субъекта бюджетной отчетности»;</w:t>
      </w:r>
    </w:p>
    <w:p w14:paraId="37AD3699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Таблица №13 «Анализ отчета об исполнении бюджета субъектом бюджетной отчетности»;</w:t>
      </w:r>
    </w:p>
    <w:p w14:paraId="0252E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№16 «Прочие вопросы деятельности субъекта бюджетной отчетности»;</w:t>
      </w:r>
    </w:p>
    <w:p w14:paraId="76D0D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об исполнении бюджета» (ф.0503164);</w:t>
      </w:r>
    </w:p>
    <w:p w14:paraId="354A8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движении нефинансовых активов» (ф.0503168);</w:t>
      </w:r>
    </w:p>
    <w:p w14:paraId="0F767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по дебиторской и кредиторской задолженности» (ф.0503169);</w:t>
      </w:r>
    </w:p>
    <w:p w14:paraId="203A0C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Сведения об изменении остатков валюты баланса» (ф.0503173);</w:t>
      </w:r>
    </w:p>
    <w:p w14:paraId="7F28A52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«Сведения о принятых и неисполненных обязательствах получателя бюджетных средств» (ф.0503175)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28707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sz w:val="24"/>
          <w:szCs w:val="24"/>
        </w:rPr>
        <w:t>Главн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2024 год и материалы по инвентаризации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8A3EB3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Во исполнение п.4 Инструкции №191н бюджетная отчетность представлена на бумажном носителе в сброшюрованном и пронумерованном виде с оглавлением и сопроводительным письмом. Бюджетная отчетность содержит все формы отчетов (за исключением форм бюджетной отчетности, не имеющих числового значения) и подписана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ведущим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бухгалтером Федяниной О.А.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руководителем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Новаком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С.Н.</w:t>
      </w:r>
    </w:p>
    <w:p w14:paraId="03D6AA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Бюджетная отчетность составлена нарастающим итогом с начала года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рубля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 с точностью до второго десятичного знака после запятой (п.9 Инструкции №191н).</w:t>
      </w:r>
    </w:p>
    <w:p w14:paraId="5441A4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 w14:paraId="0B5361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Согласно п.7 Инструкции №191н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политики. В целях подтверждения показателей годовой бюджетной отчетности в соответствии с Решени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 проведении инвентаризации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25.12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.2024 г. №0000-00000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проведена инвентаризация.</w:t>
      </w:r>
    </w:p>
    <w:p w14:paraId="22B69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результатам инвентаризации расхождений между фактическим наличием активов и состоянием расчетов с данными бюджетного учета не выявлено.</w:t>
      </w:r>
    </w:p>
    <w:p w14:paraId="2906A13D">
      <w:pPr>
        <w:spacing w:after="0" w:line="240" w:lineRule="auto"/>
        <w:ind w:firstLine="567"/>
        <w:jc w:val="both"/>
        <w:rPr>
          <w:rFonts w:hint="default" w:ascii="Times New Roman" w:hAnsi="Times New Roman"/>
          <w:i/>
          <w:iCs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</w:pPr>
    </w:p>
    <w:p w14:paraId="02905D23">
      <w:pPr>
        <w:numPr>
          <w:ilvl w:val="0"/>
          <w:numId w:val="2"/>
        </w:numPr>
        <w:spacing w:after="6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Проверка правильности составления, ведения бюджетной росписи ГРБС</w:t>
      </w:r>
    </w:p>
    <w:p w14:paraId="0F1650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 соответствии с п.1 ст.217, п.1 ст.219.1 БК РФ утвержден приказ Финансового управления от 31.12.2015 №44-с «Об утверждении Порядка составления и ведения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район»), (далее - Порядок ведения бюджетной росписи).</w:t>
      </w:r>
    </w:p>
    <w:p w14:paraId="6BD6D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В соответствии с установленным Порядком ведения бюджетной росписи, бюджетные ассигнования по расходам на 2024 год утверждены решением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муниципального образования «Ахтубинский муниципальный район Астраханской области» от 12.12.2024 №38 «О внесении изменений в решение Совета муниципального образования «Ахтубинский муниципальный район Астраханской области» от 07.12.2023 №390 «О бюджете муниципального образования «Ахтубинский муниципальный район Астраханской области» на 2024 год и плановый период 2025-2026 годов» и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сводной бюджетной росписью от 28.12.2024г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. </w:t>
      </w:r>
    </w:p>
    <w:p w14:paraId="0E0485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В соответствии с требованиями Порядка ведения бюджетной росписи, бюджетные ассигнования по расходам утверждены в разрезе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бюджета. </w:t>
      </w:r>
    </w:p>
    <w:p w14:paraId="2005D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Показатели сводной бюджетной росписи главного распорядителя бюджетных средств представлены в таблице:</w:t>
      </w:r>
    </w:p>
    <w:p w14:paraId="0CF30EDE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Таблица №3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)</w:t>
      </w:r>
    </w:p>
    <w:tbl>
      <w:tblPr>
        <w:tblStyle w:val="12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150"/>
        <w:gridCol w:w="1995"/>
        <w:gridCol w:w="1920"/>
        <w:gridCol w:w="1302"/>
      </w:tblGrid>
      <w:tr w14:paraId="49CA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864" w:type="dxa"/>
            <w:vAlign w:val="center"/>
          </w:tcPr>
          <w:p w14:paraId="6E70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Раздел/подраздел</w:t>
            </w:r>
          </w:p>
        </w:tc>
        <w:tc>
          <w:tcPr>
            <w:tcW w:w="3150" w:type="dxa"/>
            <w:vAlign w:val="center"/>
          </w:tcPr>
          <w:p w14:paraId="29EE3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Наименование раздела, подраздела</w:t>
            </w:r>
          </w:p>
        </w:tc>
        <w:tc>
          <w:tcPr>
            <w:tcW w:w="1995" w:type="dxa"/>
            <w:vAlign w:val="center"/>
          </w:tcPr>
          <w:p w14:paraId="6C62E4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Утверждено Решением Совета от 12.12.2024 №38 на 2024 год</w:t>
            </w:r>
          </w:p>
        </w:tc>
        <w:tc>
          <w:tcPr>
            <w:tcW w:w="1920" w:type="dxa"/>
            <w:vAlign w:val="center"/>
          </w:tcPr>
          <w:p w14:paraId="31196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Утверждено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сводной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бюджетной росписью от 28.12.2024г.</w:t>
            </w:r>
          </w:p>
        </w:tc>
        <w:tc>
          <w:tcPr>
            <w:tcW w:w="1302" w:type="dxa"/>
            <w:vAlign w:val="center"/>
          </w:tcPr>
          <w:p w14:paraId="41CB4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Изменение</w:t>
            </w:r>
          </w:p>
        </w:tc>
      </w:tr>
      <w:tr w14:paraId="4B32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64" w:type="dxa"/>
            <w:vAlign w:val="center"/>
          </w:tcPr>
          <w:p w14:paraId="29475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3150" w:type="dxa"/>
            <w:vAlign w:val="center"/>
          </w:tcPr>
          <w:p w14:paraId="14F2B7A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53CF3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3437905,75</w:t>
            </w:r>
          </w:p>
        </w:tc>
        <w:tc>
          <w:tcPr>
            <w:tcW w:w="1920" w:type="dxa"/>
            <w:vAlign w:val="center"/>
          </w:tcPr>
          <w:p w14:paraId="63767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3437905,75</w:t>
            </w:r>
          </w:p>
        </w:tc>
        <w:tc>
          <w:tcPr>
            <w:tcW w:w="1302" w:type="dxa"/>
            <w:vAlign w:val="center"/>
          </w:tcPr>
          <w:p w14:paraId="6CB02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  <w:tr w14:paraId="195C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exact"/>
          <w:jc w:val="center"/>
        </w:trPr>
        <w:tc>
          <w:tcPr>
            <w:tcW w:w="864" w:type="dxa"/>
            <w:vAlign w:val="center"/>
          </w:tcPr>
          <w:p w14:paraId="06FD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0103</w:t>
            </w:r>
          </w:p>
        </w:tc>
        <w:tc>
          <w:tcPr>
            <w:tcW w:w="3150" w:type="dxa"/>
            <w:vAlign w:val="center"/>
          </w:tcPr>
          <w:p w14:paraId="5F89C9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95" w:type="dxa"/>
            <w:vAlign w:val="center"/>
          </w:tcPr>
          <w:p w14:paraId="53AD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3437905,75</w:t>
            </w:r>
          </w:p>
        </w:tc>
        <w:tc>
          <w:tcPr>
            <w:tcW w:w="1920" w:type="dxa"/>
            <w:vAlign w:val="center"/>
          </w:tcPr>
          <w:p w14:paraId="6AE9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3437905,75</w:t>
            </w:r>
          </w:p>
        </w:tc>
        <w:tc>
          <w:tcPr>
            <w:tcW w:w="1302" w:type="dxa"/>
            <w:vAlign w:val="center"/>
          </w:tcPr>
          <w:p w14:paraId="3F3C3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</w:tbl>
    <w:p w14:paraId="6EC86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 соответствии с представленной бухгалтерской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тностью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не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 xml:space="preserve"> является администратором доходов.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Расходы составили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3327863,00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руб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при плане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3437905,75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, исполнение составило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96,80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%.</w:t>
      </w:r>
    </w:p>
    <w:p w14:paraId="6554F9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6092" w:themeColor="accent1" w:themeShade="BF"/>
          <w:sz w:val="24"/>
          <w:szCs w:val="24"/>
          <w:lang w:eastAsia="zh-CN"/>
        </w:rPr>
      </w:pPr>
    </w:p>
    <w:p w14:paraId="7EB5E108">
      <w:pPr>
        <w:spacing w:after="6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Проверка правильности составления, ведения бюджетной отчетности</w:t>
      </w:r>
    </w:p>
    <w:p w14:paraId="602E11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Проверкой полноты бюджетной отчетности в части ее соответствия по составу и установленным формам, достоверности отражения показателей бюджетной отчетности по их соответствию положениям Инструкции №191н определен выборочный способ проверки.</w:t>
      </w:r>
    </w:p>
    <w:p w14:paraId="2EB36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требованиями п.7 Инструкции №191н бюджетная отчетность составлена:</w:t>
      </w:r>
    </w:p>
    <w:p w14:paraId="6886C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 на основе данных Главной книги и (или) других регистров бюджетного учета;</w:t>
      </w:r>
    </w:p>
    <w:p w14:paraId="1719B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 на основе плановых (прогнозных) и (или) аналитических (управленческих) данных, сформированных в ходе осуществления субъектом учета своей деятельности.</w:t>
      </w:r>
    </w:p>
    <w:p w14:paraId="505312EA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оказатели форм отчетности соответствуют остаткам и оборотам по счетам, отраженным в главной книге.</w:t>
      </w:r>
    </w:p>
    <w:p w14:paraId="569375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  <w:highlight w:val="none"/>
          <w14:textFill>
            <w14:solidFill>
              <w14:schemeClr w14:val="tx1"/>
            </w14:solidFill>
          </w14:textFill>
        </w:rPr>
      </w:pPr>
    </w:p>
    <w:p w14:paraId="08CB43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4.1. Справка по заключению счетов бюджетного учета отчетного финансового года (ф.0503110)</w:t>
      </w:r>
    </w:p>
    <w:p w14:paraId="449AD7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Во исполнение п.43 Инструкции №191н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 w14:paraId="7F9D5F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Раздел 1 «Бюджетная деятельность» справки сформирован на основании данных по соответствующим номерам счетов 401.10 «Доходы текущего финансового года», 401.20 «Расходы текущего финансового года» в сумме показателей на 01.01.2025 (графы 2,3) и в сумме заключительных операций по закрытию счетов, произведенных по завершении 2024 года (графы 4-7). Данные показателей ф.0503110 сопоставимы с данными ф. 0503121.</w:t>
      </w:r>
    </w:p>
    <w:p w14:paraId="585DA1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2"/>
          <w:szCs w:val="12"/>
          <w:highlight w:val="none"/>
        </w:rPr>
      </w:pPr>
    </w:p>
    <w:p w14:paraId="57E6E2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4.2. Отчет о финансовых результатах деятельности (ф.0503121)</w:t>
      </w:r>
    </w:p>
    <w:p w14:paraId="01C8D9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Отчет ф.0503121 представлен в составе годовой бюджетной отчетности (п. п. 10, 92 Инструкции №191н). Во исполнение п.92-93 Инструкции № 191н отчет содержит данные о финансовых результатах деятельности в разрезе кодов КОСГУ по состоянию на 01.01.2025 г., отраженные в рамках бюджетной деятельности (гр.4) и итогового показателя (гр.6).</w:t>
      </w:r>
    </w:p>
    <w:p w14:paraId="4EB2AA3D">
      <w:pPr>
        <w:wordWrap w:val="0"/>
        <w:spacing w:after="0" w:line="240" w:lineRule="auto"/>
        <w:ind w:firstLine="567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Таблица №4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(руб.)</w:t>
      </w: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788"/>
        <w:gridCol w:w="1961"/>
      </w:tblGrid>
      <w:tr w14:paraId="682A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1C0B015A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226C7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Показатель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8FE9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Бюджетная деятельность, руб.</w:t>
            </w:r>
          </w:p>
        </w:tc>
      </w:tr>
      <w:tr w14:paraId="66A7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11711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5DB2EBFA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Доходы (стр. 010)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5B6BA0FA">
            <w:pPr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  <w:tr w14:paraId="41C7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17B41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4A7A20B6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Расходы (стр.150)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25D27492">
            <w:pPr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3268308,19</w:t>
            </w:r>
          </w:p>
        </w:tc>
      </w:tr>
      <w:tr w14:paraId="690D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288C1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1B3AB546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Чистый операционный результат 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63251467">
            <w:pPr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-3268308,19</w:t>
            </w:r>
          </w:p>
        </w:tc>
      </w:tr>
      <w:tr w14:paraId="7357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08DFF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448A3E42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Операции с нефинансовыми активами (стр. 310)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34B8FB18">
            <w:pPr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-81694,32</w:t>
            </w:r>
          </w:p>
        </w:tc>
      </w:tr>
      <w:tr w14:paraId="7F40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48431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2BDADA77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Операции с финансовыми активами и обязательствами (стр.410)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10910ACC">
            <w:pPr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-3186613,87</w:t>
            </w:r>
          </w:p>
        </w:tc>
      </w:tr>
    </w:tbl>
    <w:p w14:paraId="3A1DE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Данные показателей ф.0503121 сопоставимы с данными формы 0503110.</w:t>
      </w:r>
    </w:p>
    <w:p w14:paraId="19BCE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2920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4.3. Отчет о движении денежных средств (ф.0503123)</w:t>
      </w:r>
    </w:p>
    <w:p w14:paraId="2953F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п.146 Инструкции №191н отчет содержит данные о движении денежных средств в кассе, на счете по состоянию на 01.01.2025г. и составлен в разрезе КОСГУ. Информация сгруппирована по видам операций: текущие, инвестиционные, финансовые. Показатели графы 4 Отчета (ф.0503123) сформированы на основании данных по видам поступлений и выбытий, с учетом возвратов текущего финансового периода.</w:t>
      </w:r>
    </w:p>
    <w:p w14:paraId="1F85C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Сумма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"consultantplus://offline/ref=827AC9A5E62DFDDB7D04897F3119B8BA47CEE20C384A92A7311A1AF96C7C502A7D3D2E439D81FE5269D41AE7A2C3C7E592C86EE01B76D2wAEEL"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строк 5010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"consultantplus://offline/ref=827AC9A5E62DFDDB7D04897F3119B8BA47CEE20C384A92A7311A1AF96C7C502A7D3D2E439D81FE5169D41AE7A2C3C7E592C86EE01B76D2wAEEL"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5020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за вычетом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"consultantplus://offline/ref=827AC9A5E62DFDDB7D04897F3119B8BA47CEE20C384A92A7311A1AF96C7C502A7D3D2E439D8EF85A69D41AE7A2C3C7E592C86EE01B76D2wAEEL"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строки 4400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суммы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"consultantplus://offline/ref=827AC9A5E62DFDDB7D04897F3119B8BA47CEE20C384A92A7311A1AF96C7C502A7D3D2E439D8EF65469D41AE7A2C3C7E592C86EE01B76D2wAEEL"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строк 4610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"consultantplus://offline/ref=827AC9A5E62DFDDB7D04897F3119B8BA47CEE20C384A92A7311A1AF96C7C502A7D3D2E439D8EF65B69D41AE7A2C3C7E592C86EE01B76D2wAEEL"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4620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отчета (ф.0503123) равняется сумме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"consultantplus://offline/ref=827AC9A5E62DFDDB7D04897F3119B8BA47CEE20C384A92A7311A1AF96C7C502A7D3D2E43998BFD5A608B1FF2B39BCBE58DD66AFA0774D0AFw8EDL"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строк 700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"consultantplus://offline/ref=827AC9A5E62DFDDB7D04897F3119B8BA47CEE20C384A92A7311A1AF96C7C502A7D3D2E43998BFD5A6B8B1FF2B39BCBE58DD66AFA0774D0AFw8EDL"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810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граф 5 и 6 Отчета (ф.0503127) без учета остатков в кассе.</w:t>
      </w:r>
    </w:p>
    <w:p w14:paraId="734E0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4.4. Справка по консолидируемым расчетам (ф.0503125)</w:t>
      </w:r>
    </w:p>
    <w:p w14:paraId="616E4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" w:line="240" w:lineRule="auto"/>
        <w:ind w:firstLine="480" w:firstLineChars="200"/>
        <w:jc w:val="both"/>
        <w:textAlignment w:val="auto"/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п.23 Инструкции №191н справка по консолидируемым расч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тности и представляется на 1 января года, следующего за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тным, по денежным и неденежным расч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там.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 соответствии с 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абз.1 п.8 Инструкции №191н, ввиду отсутствия числовых значений ф. 0503125 в отчет не включена.</w:t>
      </w:r>
    </w:p>
    <w:p w14:paraId="163CE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6" w:line="240" w:lineRule="auto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</w:p>
    <w:p w14:paraId="240A0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0" w:after="0" w:line="240" w:lineRule="auto"/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Отчет раскрывает бюджетную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"consultantplus://offline/ref=FF3DB571B2F08C93F47E057097A9F3D75329E5619206DA4B28C691DD3EF6BE472DB07AEE7B5DD32ED77D0113CBB4D33D5860C924B24DF3B3Y0E9M"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информацию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обеспечивает сопоставление утвержденных (доведенных) бюджетных назначений с данными об исполнении бюджета. При заполнении документа руководствуются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"consultantplus://offline/ref=FF3DB571B2F08C93F47E057097A9F3D7532AE66E9508DA4B28C691DD3EF6BE472DB07AEE7B5DD725D77D0113CBB4D33D5860C924B24DF3B3Y0E9M"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п.п.52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-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"consultantplus://offline/ref=FF3DB571B2F08C93F47E057097A9F3D7532AE66E9508DA4B28C691DD3EF6BE472DB07AEE7B5DD62FD37D0113CBB4D33D5860C924B24DF3B3Y0E9M"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59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"consultantplus://offline/ref=FF3DB571B2F08C93F47E057097A9F3D7532AE66E9508DA4B28C691DD3EF6BE472DB07AEE7B5DD628D47D0113CBB4D33D5860C924B24DF3B3Y0E9M"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-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"consultantplus://offline/ref=FF3DB571B2F08C93F47E057097A9F3D7532AE66E9508DA4B28C691DD3EF6BE472DB07AE87956877D902358418FFFDE3D467CC925YAEDM"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62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Инструкции №191н.</w:t>
      </w:r>
    </w:p>
    <w:p w14:paraId="547B84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Показатели по строке 500 раздела «Источники финансирования дефицита бюджета» в графах 5, 6, 7, 8 равны показателям, отраженным по строке 450 в графах 6, 7, 8, 9 соответственно, с противоположным знаком.</w:t>
      </w:r>
    </w:p>
    <w:p w14:paraId="14DD93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Показатели Отчета (ф.0503127) сопоставимы с показателями Отчета (ф.0503123) (отчет показывает движение денежных средств на счетах учреждения).</w:t>
      </w:r>
    </w:p>
    <w:p w14:paraId="6A363F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Показатели граф 4, 5 и 9 разд. 2 и 3 Отчета (ф.0503127) сопоставимы с показателями граф 4, 5 и 10 разд. 1 и 2 Отчета (ф.0503128) соответственно.</w:t>
      </w:r>
    </w:p>
    <w:p w14:paraId="201D3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Сумма расходов, отраженная в Отчете (ф.0503127) по разделу «Расходы бюджета - всего» в графе 6 «Исполнено, через финансовые органы» –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3327863,00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руб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соответствует кредитовым оборотам по соответствующим счетам счета 304.05 «Расчеты по платежам из бюджета с финансовым органом» в главн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книг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за 2024 год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E5A82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п.59.1 Инструкции №191н сформирована дополнительная ф.0503127 содержащая данные о бюджетных назначениях по доходам, расходам, источникам финансирования дефицита бюджета. Нарушения не выявлены.</w:t>
      </w:r>
    </w:p>
    <w:p w14:paraId="4F2119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6"/>
          <w:szCs w:val="16"/>
          <w:highlight w:val="none"/>
        </w:rPr>
      </w:pPr>
    </w:p>
    <w:p w14:paraId="4205C9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4.6. Отчет о бюджетных обязательствах (ф.0503128)</w:t>
      </w:r>
    </w:p>
    <w:p w14:paraId="7B015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Отчет составлен на основании данных о принятых и исполненных бюджетных обязательствах и представлен по состоянию на 01.01.2025г. Показатели отражены на основании данных об обязательствах, подлежащих исполнению в 2024 году (п.68, 69 Инструкции №191н). Отчет заполнен в порядке, приведенном в п.70, 71 - 73 Инструкции №191н.</w:t>
      </w:r>
    </w:p>
    <w:p w14:paraId="09B3FD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По разделу 1 «Бюджетные обязательства текущего (отчетного) финансового года по расходам»:</w:t>
      </w:r>
    </w:p>
    <w:p w14:paraId="066717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 графа 4 в части доведенных бюджетных ассигнований заполнена на основании данных по кредитовому обороту соответствующих счетов аналитического учета счета 503.13 «Бюджетные ассигнования получателей бюджетных средств и администраторов выплат по источникам текущего финансового года»;</w:t>
      </w:r>
    </w:p>
    <w:p w14:paraId="61C92F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 в графе 5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501.13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учета счета 501.15 «Полученные лимиты бюджетных обязательств (на текущий финансовый год)». Нарушений не установлено.</w:t>
      </w:r>
    </w:p>
    <w:p w14:paraId="7FAA3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Показатели граф 4, 5 и 10 разд. 1 и 2 Отчета (ф.0503128) сопоставимы с показателями граф 4, 5 и 9 Отчета (ф.0503127) соответственно (п.73 Инструкции №191н). </w:t>
      </w:r>
    </w:p>
    <w:p w14:paraId="4DB0B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Бюджетные ассигнования по расходам в сумме 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3437905,75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 утвержденные сводной бюджетной росписью от 28.12.2024 г. соответствуют гр. 4, 5 раздела 1 «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"consultantplus://offline/ref=4D973BE1B9845E6C6757B7A303DB4D29A2999F46B219EB80A89B45DBBAE6BD776605CB2664E1C3F48DD924C9E97291BBF162BF4D5395BDk764J"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Бюджетные обязательства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текущего (отчетного) финансового года по расходам» Отчета (ф.0503128).</w:t>
      </w:r>
    </w:p>
    <w:p w14:paraId="06934E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п.70.1 Инструкции №191н в целях формирования сводного Отчета (ф.0503128) дополнительно сформирован отчет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 Нарушения не выявлены.</w:t>
      </w:r>
    </w:p>
    <w:p w14:paraId="3F5BA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24"/>
          <w:szCs w:val="24"/>
          <w:highlight w:val="none"/>
        </w:rPr>
      </w:pPr>
    </w:p>
    <w:p w14:paraId="1D77C056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Баланс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ф.0503130)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)</w:t>
      </w:r>
    </w:p>
    <w:p w14:paraId="7CD11A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Баланс (ф.0503130) содержит данные о нефинансовых и финансовых активах, обязательствах на первый и последний день отчетного периода по счетам бюджетного учета.</w:t>
      </w:r>
    </w:p>
    <w:p w14:paraId="49D696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п.13 Инструкции №191н показатели в Балансе (ф.0503130)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</w:p>
    <w:p w14:paraId="6168DC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Во исполнение п.14-15 Инструкции №191н в Балансе (ф.0503130)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01.01.2025г. с учетом проведенных при завершении финансового года заключительных оборотов по счетам бюджетного учета.</w:t>
      </w:r>
    </w:p>
    <w:p w14:paraId="1F2F05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Показатели строки 700 Баланса (ф.0503130) соответствуют идентичным показателям строки 350.</w:t>
      </w:r>
    </w:p>
    <w:p w14:paraId="62CAE8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Данные Баланса (ф.0503130) сопоставимы с показателями сведений о движении нефинансовых активов (ф.0503168) и сведений по дебиторской и кредиторской задолженности (ф.0503169).</w:t>
      </w:r>
    </w:p>
    <w:p w14:paraId="558FBF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составе Баланса (ф.0503130) сформирована справка о наличии имущества и обязательств на забалансовых счетах на начало и конец периода.</w:t>
      </w:r>
    </w:p>
    <w:p w14:paraId="1E589A71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При проверке контрольных соотношений показателей между формами отчетности, а именно баланса ф.0503130 и ф.0503110, ф.0503121, ф.0503168, ф.0503169 расхождения не установлены.</w:t>
      </w:r>
    </w:p>
    <w:p w14:paraId="232F6B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4.8. Пояснительная записка (ф.0503160)</w:t>
      </w:r>
    </w:p>
    <w:p w14:paraId="53325A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п.152 Инструкции №191н Пояснительная записка составлена в разрезе следующих разделов:</w:t>
      </w:r>
    </w:p>
    <w:p w14:paraId="68923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Раздел 1 «Организационная структура субъекта бюджетной отчетности» содержит:</w:t>
      </w:r>
    </w:p>
    <w:p w14:paraId="7CFC2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Сведения, характеризующие организационную структуру, о направлениях деятельности и нормативных документах, на основании которых составлена годовая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тность. </w:t>
      </w:r>
    </w:p>
    <w:p w14:paraId="1D3CB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"https://login.consultant.ru/link/?req=doc&amp;base=LAW&amp;n=467434&amp;dst=26189"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об организационной структуре субъекта бюджетной отчетности (Таблица №11) предоставлена согласно п.159.4 Инструкции № 191н.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6CB89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Раздел 2 «Результаты деятельности субъекта бюджетной отчетности»:</w:t>
      </w:r>
    </w:p>
    <w:p w14:paraId="3FA84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Сведения о результатах деятельности субъекта бюджетной отчетности (Таблица №12)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предоставлена согласно п. 159.5 Инструкции №191н.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3E897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Раздел 3 «Анализ отчета об исполнении бюджета субъектом бюджетной отчетности» содержит:</w:t>
      </w:r>
    </w:p>
    <w:p w14:paraId="7EF441B8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 об исполнении бюджета (ф.0503164) составлены на основе показателей отч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та об исполнении бюджета (ф.0503127), процент исполнения по расходам - 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94.99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%. </w:t>
      </w:r>
    </w:p>
    <w:p w14:paraId="70A63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Раздел 4 «Анализ показателей бухгалтерской отчетности субъекта бюджетной отчетности»:</w:t>
      </w:r>
    </w:p>
    <w:p w14:paraId="1F38C0DE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п.166 Инструкции №191н Сведения о движении нефинансовых активов (ф.0503168) содержит обобщенную информацию за 2024 год о движении нефинансовых активов.</w:t>
      </w:r>
    </w:p>
    <w:p w14:paraId="7377289E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Стоимость нефинансовых активов по состоянию на 01.01.2024г. и 01.01.2025г. в разрезе счетов бюджетного учета составила:</w:t>
      </w:r>
    </w:p>
    <w:p w14:paraId="5A91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101.00 «Основные средства» -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182638,60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182638,60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 что соответствует данным стр.010 Баланса (ф.0503130);</w:t>
      </w:r>
    </w:p>
    <w:p w14:paraId="5986A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104.00 «Амортизация» -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182638,60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182638,60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 что соответствует данным стр.021 Баланса (ф.0503130);</w:t>
      </w:r>
    </w:p>
    <w:p w14:paraId="0ED7F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105.00 «Материальные запасы» -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119630,85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37936,53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 что соответствует данным стр.080 Баланса (ф.0503130);</w:t>
      </w:r>
    </w:p>
    <w:p w14:paraId="0277D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111.60 «Права пользования нематериальными активами» -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45800,00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45800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, что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соответствует данным стр.100 Баланса (ф.0503130).</w:t>
      </w:r>
    </w:p>
    <w:p w14:paraId="22FCA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Показатели Отчета (ф.0503168) в графе 4 «Наличие на начало года» и графе 11 «Наличие на конец года» соответствуют данным Баланса (ф.0503130).</w:t>
      </w:r>
    </w:p>
    <w:p w14:paraId="4B26A454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376092" w:themeColor="accent1" w:themeShade="BF"/>
          <w:sz w:val="12"/>
          <w:szCs w:val="12"/>
          <w:highlight w:val="lightGray"/>
        </w:rPr>
      </w:pPr>
    </w:p>
    <w:p w14:paraId="3D735179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соответствии с п.167 Инструкции №191н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 по дебиторской и кредиторской задолженности (ф.0503169)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Дебиторская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кредиторская задолженность на 01.01.2025 г. отсутствует.</w:t>
      </w:r>
    </w:p>
    <w:p w14:paraId="2D95E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Резерв предстоящих расходов сч.401.60 -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69227,87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соответству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 данным стр.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520 Баланса (ф.0503130).</w:t>
      </w:r>
    </w:p>
    <w:p w14:paraId="63F4FD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highlight w:val="lightGray"/>
          <w14:textFill>
            <w14:solidFill>
              <w14:schemeClr w14:val="tx1"/>
            </w14:solidFill>
          </w14:textFill>
        </w:rPr>
      </w:pPr>
    </w:p>
    <w:p w14:paraId="547E9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соответствии с п.170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Сведения об изменении остатков валюты баланса (ф.0503173) содержат обобщенные за 2024 год данные об изменении показателей на начало отчетного периода вступительного баланса ГРБС и баланса исполнения бюджета. </w:t>
      </w:r>
    </w:p>
    <w:p w14:paraId="5F3AB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Внесены изменения:</w:t>
      </w:r>
    </w:p>
    <w:p w14:paraId="39D64773">
      <w:pPr>
        <w:spacing w:after="0" w:line="240" w:lineRule="auto"/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-Уменьшение стоимости основных средств**, всего стр. 020 (17608,58 руб.);</w:t>
      </w:r>
    </w:p>
    <w:p w14:paraId="48E141D8">
      <w:pPr>
        <w:spacing w:after="0" w:line="240" w:lineRule="auto"/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Амортизация основных средств стр. 021 (17608,58 руб.);</w:t>
      </w:r>
    </w:p>
    <w:p w14:paraId="1C9D0997">
      <w:pPr>
        <w:spacing w:after="0" w:line="240" w:lineRule="auto"/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Основные средства (остаточная стоимость) стр. 030 (-17608,58 руб.);</w:t>
      </w:r>
    </w:p>
    <w:p w14:paraId="4E7F3C10">
      <w:pPr>
        <w:spacing w:after="0" w:line="240" w:lineRule="auto"/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Внеоборотные стр.081 (45258,00 руб);</w:t>
      </w:r>
    </w:p>
    <w:p w14:paraId="1E4DDC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того подразделу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-17608,58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руб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);</w:t>
      </w:r>
    </w:p>
    <w:p w14:paraId="09978D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Баланс стр.350 и 700 (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-17608,58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руб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);</w:t>
      </w:r>
    </w:p>
    <w:p w14:paraId="5FE73A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Финансовый результат стр.560 (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-17608,58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руб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);</w:t>
      </w:r>
    </w:p>
    <w:p w14:paraId="3EACE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Финансовый результат экономического субъекта стр.570 (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-17608,58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руб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</w:t>
      </w:r>
    </w:p>
    <w:p w14:paraId="3A1A7A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72" w:afterLines="30"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 п.170.2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Сведения о принятых и неисполненных обязательствах получателя бюджетных средств (ф.0503175)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содержат аналитические данные о неисполненных бюджетных обязательствах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80168,42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 неисполненных денежных обязательствах (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0,00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). Показатели, отраженные в ф.0503175, соответствуют данным Отчета (ф.0503128).</w:t>
      </w:r>
    </w:p>
    <w:p w14:paraId="7B47F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Раздел 5 «Прочие вопросы деятельности субъекта бюджетной отчетности» содержит:</w:t>
      </w:r>
    </w:p>
    <w:p w14:paraId="43B4535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 об основных положениях учетной политики (Таблица №4) - в соответствии с п.156 Инструкции №191н характеризу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ю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особенностей. Нарушения при заполнении таблицы не выявлены.</w:t>
      </w:r>
    </w:p>
    <w:p w14:paraId="22F5A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Представлена таблица №16 «Прочие вопросы деятельности субъекта бюджетной отчетности» в соответствии с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п.159.9 Инструкции №191н,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отражающая перечень форм отчетности, не включенных в состав бюджетной отчетности за отчетный период ввиду отсутствия числовых значений показателей: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0503125,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ф.0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03166, ф.0503167,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0503171,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ф.0503172, ф.0503174,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ф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.0503178,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ф.0503190,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ф. 0503296,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таблица №1, №3, №6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,№13, №14, №15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</w:p>
    <w:p w14:paraId="6C4CB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376092" w:themeColor="accent1" w:themeShade="BF"/>
          <w:sz w:val="24"/>
          <w:szCs w:val="24"/>
          <w:highlight w:val="none"/>
        </w:rPr>
      </w:pPr>
    </w:p>
    <w:p w14:paraId="4D7DD5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Вывод</w:t>
      </w:r>
    </w:p>
    <w:p w14:paraId="5F06D29E"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Оценка полноты и достоверности бюджетной отчетности во всех существенных отношениях проводилась на выборочной основе. Бюджетная отчетность за 2024 год представлена в срок, достоверна, соответствует структуре и бюджетной классификации. </w:t>
      </w:r>
    </w:p>
    <w:p w14:paraId="22416B30"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2024 год, не выявлено.</w:t>
      </w:r>
    </w:p>
    <w:p w14:paraId="192AA912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 w:eastAsia="zh-CN"/>
          <w14:textFill>
            <w14:solidFill>
              <w14:schemeClr w14:val="tx1"/>
            </w14:solidFill>
          </w14:textFill>
        </w:rPr>
      </w:pPr>
    </w:p>
    <w:p w14:paraId="7EA9BE7D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 w:eastAsia="zh-CN"/>
          <w14:textFill>
            <w14:solidFill>
              <w14:schemeClr w14:val="tx1"/>
            </w14:solidFill>
          </w14:textFill>
        </w:rPr>
      </w:pPr>
    </w:p>
    <w:p w14:paraId="5344B6F6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 w:eastAsia="zh-CN"/>
          <w14:textFill>
            <w14:solidFill>
              <w14:schemeClr w14:val="tx1"/>
            </w14:solidFill>
          </w14:textFill>
        </w:rPr>
      </w:pPr>
    </w:p>
    <w:p w14:paraId="18CE992B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 w:eastAsia="zh-CN"/>
          <w14:textFill>
            <w14:solidFill>
              <w14:schemeClr w14:val="tx1"/>
            </w14:solidFill>
          </w14:textFill>
        </w:rPr>
      </w:pPr>
    </w:p>
    <w:p w14:paraId="488914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Председатель КСП МО «Ахтубинский район»                                     Ю.Ю. Журавлева</w:t>
      </w:r>
    </w:p>
    <w:p w14:paraId="6C41880A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376092" w:themeColor="accent1" w:themeShade="BF"/>
          <w:sz w:val="24"/>
          <w:szCs w:val="24"/>
        </w:rPr>
      </w:pPr>
    </w:p>
    <w:p w14:paraId="018F3855">
      <w:pPr>
        <w:spacing w:after="0"/>
        <w:jc w:val="both"/>
        <w:rPr>
          <w:rFonts w:ascii="Times New Roman" w:hAnsi="Times New Roman" w:cs="Times New Roman"/>
          <w:color w:val="376092" w:themeColor="accent1" w:themeShade="BF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993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3436D">
    <w:pPr>
      <w:pStyle w:val="9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Заключение Контрольно-счетной палаты МО «Ахтубинский район»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Страница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7</w:t>
    </w:r>
    <w:r>
      <w:rPr>
        <w:rFonts w:asciiTheme="majorHAnsi" w:hAnsiTheme="majorHAnsi" w:eastAsiaTheme="majorEastAsia" w:cstheme="majorBidi"/>
      </w:rPr>
      <w:fldChar w:fldCharType="end"/>
    </w:r>
  </w:p>
  <w:p w14:paraId="29522B4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C8D8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7D5BF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858A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46B65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3C1D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2FFFB"/>
    <w:multiLevelType w:val="singleLevel"/>
    <w:tmpl w:val="3332FFFB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46BF50F5"/>
    <w:multiLevelType w:val="multilevel"/>
    <w:tmpl w:val="46BF50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93"/>
    <w:rsid w:val="0002005C"/>
    <w:rsid w:val="00020CB0"/>
    <w:rsid w:val="00021BFF"/>
    <w:rsid w:val="0002347A"/>
    <w:rsid w:val="0002430A"/>
    <w:rsid w:val="00024BF8"/>
    <w:rsid w:val="000344B0"/>
    <w:rsid w:val="000415A4"/>
    <w:rsid w:val="00041F3B"/>
    <w:rsid w:val="00047905"/>
    <w:rsid w:val="00047F1F"/>
    <w:rsid w:val="0005072A"/>
    <w:rsid w:val="0005238E"/>
    <w:rsid w:val="00053841"/>
    <w:rsid w:val="0005782E"/>
    <w:rsid w:val="00061C82"/>
    <w:rsid w:val="00062F8D"/>
    <w:rsid w:val="00066609"/>
    <w:rsid w:val="00066658"/>
    <w:rsid w:val="00067C0F"/>
    <w:rsid w:val="00067CB0"/>
    <w:rsid w:val="0007141D"/>
    <w:rsid w:val="00071AB1"/>
    <w:rsid w:val="000728BD"/>
    <w:rsid w:val="00075CC8"/>
    <w:rsid w:val="00075D18"/>
    <w:rsid w:val="000766D2"/>
    <w:rsid w:val="000900F6"/>
    <w:rsid w:val="000906F8"/>
    <w:rsid w:val="00091AD6"/>
    <w:rsid w:val="000934BD"/>
    <w:rsid w:val="000934D1"/>
    <w:rsid w:val="000A2708"/>
    <w:rsid w:val="000A44EE"/>
    <w:rsid w:val="000A4CA4"/>
    <w:rsid w:val="000B4533"/>
    <w:rsid w:val="000B6E4C"/>
    <w:rsid w:val="000C4801"/>
    <w:rsid w:val="000C4D53"/>
    <w:rsid w:val="000C5BDE"/>
    <w:rsid w:val="000C73E5"/>
    <w:rsid w:val="000D1EC7"/>
    <w:rsid w:val="000D2311"/>
    <w:rsid w:val="000D69B2"/>
    <w:rsid w:val="000E5F05"/>
    <w:rsid w:val="000E6906"/>
    <w:rsid w:val="000F34DA"/>
    <w:rsid w:val="000F423C"/>
    <w:rsid w:val="000F6B30"/>
    <w:rsid w:val="00101979"/>
    <w:rsid w:val="00101AD0"/>
    <w:rsid w:val="00105E6F"/>
    <w:rsid w:val="00106231"/>
    <w:rsid w:val="001062A9"/>
    <w:rsid w:val="0011015C"/>
    <w:rsid w:val="00112D6E"/>
    <w:rsid w:val="00123823"/>
    <w:rsid w:val="0012564A"/>
    <w:rsid w:val="00125D50"/>
    <w:rsid w:val="00136349"/>
    <w:rsid w:val="00140E90"/>
    <w:rsid w:val="00141494"/>
    <w:rsid w:val="00146CD7"/>
    <w:rsid w:val="00147A26"/>
    <w:rsid w:val="001566B9"/>
    <w:rsid w:val="00160877"/>
    <w:rsid w:val="0017067B"/>
    <w:rsid w:val="00172A27"/>
    <w:rsid w:val="00180229"/>
    <w:rsid w:val="00181D6A"/>
    <w:rsid w:val="00185F28"/>
    <w:rsid w:val="001963CD"/>
    <w:rsid w:val="001A3703"/>
    <w:rsid w:val="001A3963"/>
    <w:rsid w:val="001A731D"/>
    <w:rsid w:val="001B0400"/>
    <w:rsid w:val="001B3612"/>
    <w:rsid w:val="001B6F28"/>
    <w:rsid w:val="001B7C79"/>
    <w:rsid w:val="001C3C1C"/>
    <w:rsid w:val="001C4A95"/>
    <w:rsid w:val="001C587C"/>
    <w:rsid w:val="001D40B5"/>
    <w:rsid w:val="001D4FB6"/>
    <w:rsid w:val="001D6111"/>
    <w:rsid w:val="001E0A9D"/>
    <w:rsid w:val="001E2566"/>
    <w:rsid w:val="001E5405"/>
    <w:rsid w:val="001F1A1F"/>
    <w:rsid w:val="001F5DFD"/>
    <w:rsid w:val="00201A5F"/>
    <w:rsid w:val="00203002"/>
    <w:rsid w:val="00203AC1"/>
    <w:rsid w:val="002307F6"/>
    <w:rsid w:val="002313D8"/>
    <w:rsid w:val="0023161E"/>
    <w:rsid w:val="002360F1"/>
    <w:rsid w:val="00236C1D"/>
    <w:rsid w:val="0023759D"/>
    <w:rsid w:val="00244995"/>
    <w:rsid w:val="00246A6F"/>
    <w:rsid w:val="00246CCE"/>
    <w:rsid w:val="00247EE1"/>
    <w:rsid w:val="00250ECB"/>
    <w:rsid w:val="0025296E"/>
    <w:rsid w:val="002631A4"/>
    <w:rsid w:val="002636EB"/>
    <w:rsid w:val="002647A8"/>
    <w:rsid w:val="00264B14"/>
    <w:rsid w:val="00271123"/>
    <w:rsid w:val="002761A8"/>
    <w:rsid w:val="00282921"/>
    <w:rsid w:val="00285210"/>
    <w:rsid w:val="00286D69"/>
    <w:rsid w:val="00290749"/>
    <w:rsid w:val="0029324A"/>
    <w:rsid w:val="002932D2"/>
    <w:rsid w:val="002933BE"/>
    <w:rsid w:val="00293B9C"/>
    <w:rsid w:val="002A1DB6"/>
    <w:rsid w:val="002B5B18"/>
    <w:rsid w:val="002B602E"/>
    <w:rsid w:val="002C40BD"/>
    <w:rsid w:val="002D130B"/>
    <w:rsid w:val="002D307D"/>
    <w:rsid w:val="002D3F9D"/>
    <w:rsid w:val="002E5C84"/>
    <w:rsid w:val="002E5F24"/>
    <w:rsid w:val="002E76E5"/>
    <w:rsid w:val="002E7C66"/>
    <w:rsid w:val="002F717C"/>
    <w:rsid w:val="0030069F"/>
    <w:rsid w:val="003044BE"/>
    <w:rsid w:val="00304535"/>
    <w:rsid w:val="003058BD"/>
    <w:rsid w:val="00310EAC"/>
    <w:rsid w:val="0032199A"/>
    <w:rsid w:val="00321B2D"/>
    <w:rsid w:val="0032733B"/>
    <w:rsid w:val="003276D4"/>
    <w:rsid w:val="003358A4"/>
    <w:rsid w:val="00336946"/>
    <w:rsid w:val="00346A44"/>
    <w:rsid w:val="00350927"/>
    <w:rsid w:val="00353679"/>
    <w:rsid w:val="003555AE"/>
    <w:rsid w:val="0036097F"/>
    <w:rsid w:val="00361BA1"/>
    <w:rsid w:val="0036369C"/>
    <w:rsid w:val="0037657A"/>
    <w:rsid w:val="0037759E"/>
    <w:rsid w:val="0037789D"/>
    <w:rsid w:val="003836ED"/>
    <w:rsid w:val="00384B96"/>
    <w:rsid w:val="00384EC1"/>
    <w:rsid w:val="00386D2D"/>
    <w:rsid w:val="00390834"/>
    <w:rsid w:val="00392640"/>
    <w:rsid w:val="003A0323"/>
    <w:rsid w:val="003A1076"/>
    <w:rsid w:val="003B6982"/>
    <w:rsid w:val="003C230A"/>
    <w:rsid w:val="003C25DD"/>
    <w:rsid w:val="003C2DC1"/>
    <w:rsid w:val="003D1F00"/>
    <w:rsid w:val="003D4E10"/>
    <w:rsid w:val="003E15E1"/>
    <w:rsid w:val="003E4A34"/>
    <w:rsid w:val="003F0125"/>
    <w:rsid w:val="003F0A18"/>
    <w:rsid w:val="003F665B"/>
    <w:rsid w:val="00400199"/>
    <w:rsid w:val="0040759E"/>
    <w:rsid w:val="00423630"/>
    <w:rsid w:val="00424826"/>
    <w:rsid w:val="00424B06"/>
    <w:rsid w:val="00425E03"/>
    <w:rsid w:val="00431141"/>
    <w:rsid w:val="004324DD"/>
    <w:rsid w:val="00436A16"/>
    <w:rsid w:val="004374BD"/>
    <w:rsid w:val="004414EE"/>
    <w:rsid w:val="004425FF"/>
    <w:rsid w:val="00444D58"/>
    <w:rsid w:val="0045563D"/>
    <w:rsid w:val="004617CA"/>
    <w:rsid w:val="00462EEB"/>
    <w:rsid w:val="0047082B"/>
    <w:rsid w:val="00475450"/>
    <w:rsid w:val="00477BE0"/>
    <w:rsid w:val="0048141D"/>
    <w:rsid w:val="00484014"/>
    <w:rsid w:val="00490032"/>
    <w:rsid w:val="0049277A"/>
    <w:rsid w:val="00493F08"/>
    <w:rsid w:val="004958C8"/>
    <w:rsid w:val="00495FF6"/>
    <w:rsid w:val="004A2E77"/>
    <w:rsid w:val="004B59BF"/>
    <w:rsid w:val="004C1AD4"/>
    <w:rsid w:val="004C20A3"/>
    <w:rsid w:val="004D6DC6"/>
    <w:rsid w:val="004D6FA7"/>
    <w:rsid w:val="004D7F62"/>
    <w:rsid w:val="004E17C1"/>
    <w:rsid w:val="004E2AE5"/>
    <w:rsid w:val="004E2FE3"/>
    <w:rsid w:val="004E3577"/>
    <w:rsid w:val="004E493A"/>
    <w:rsid w:val="004E5A3C"/>
    <w:rsid w:val="004E7E57"/>
    <w:rsid w:val="00501BD1"/>
    <w:rsid w:val="00504068"/>
    <w:rsid w:val="005065B5"/>
    <w:rsid w:val="00506B6F"/>
    <w:rsid w:val="00510739"/>
    <w:rsid w:val="005141D8"/>
    <w:rsid w:val="00516400"/>
    <w:rsid w:val="005165A7"/>
    <w:rsid w:val="00516E6C"/>
    <w:rsid w:val="00520221"/>
    <w:rsid w:val="0052075C"/>
    <w:rsid w:val="00521894"/>
    <w:rsid w:val="0053004E"/>
    <w:rsid w:val="00536299"/>
    <w:rsid w:val="00553B2E"/>
    <w:rsid w:val="005548B7"/>
    <w:rsid w:val="00561FBD"/>
    <w:rsid w:val="0056264C"/>
    <w:rsid w:val="005639A0"/>
    <w:rsid w:val="005653D3"/>
    <w:rsid w:val="0056640F"/>
    <w:rsid w:val="00566F57"/>
    <w:rsid w:val="005812B1"/>
    <w:rsid w:val="00582776"/>
    <w:rsid w:val="005847A7"/>
    <w:rsid w:val="00584F6B"/>
    <w:rsid w:val="00587FEF"/>
    <w:rsid w:val="005918DA"/>
    <w:rsid w:val="00593F96"/>
    <w:rsid w:val="005965CA"/>
    <w:rsid w:val="005A2A83"/>
    <w:rsid w:val="005A2F74"/>
    <w:rsid w:val="005A7D3C"/>
    <w:rsid w:val="005B3A7B"/>
    <w:rsid w:val="005C0CEE"/>
    <w:rsid w:val="005C4F63"/>
    <w:rsid w:val="005D348E"/>
    <w:rsid w:val="005D74F1"/>
    <w:rsid w:val="005E1D7A"/>
    <w:rsid w:val="005E4A65"/>
    <w:rsid w:val="005E6C74"/>
    <w:rsid w:val="005F0D68"/>
    <w:rsid w:val="005F518A"/>
    <w:rsid w:val="00602E77"/>
    <w:rsid w:val="00606BC8"/>
    <w:rsid w:val="006104F4"/>
    <w:rsid w:val="00614AB8"/>
    <w:rsid w:val="006159C4"/>
    <w:rsid w:val="00617938"/>
    <w:rsid w:val="00624724"/>
    <w:rsid w:val="0062666C"/>
    <w:rsid w:val="006301F0"/>
    <w:rsid w:val="00631D1E"/>
    <w:rsid w:val="00633D9B"/>
    <w:rsid w:val="00634259"/>
    <w:rsid w:val="00637047"/>
    <w:rsid w:val="006403A8"/>
    <w:rsid w:val="006412FB"/>
    <w:rsid w:val="00650369"/>
    <w:rsid w:val="00650815"/>
    <w:rsid w:val="0065098E"/>
    <w:rsid w:val="00653A7C"/>
    <w:rsid w:val="00654B5A"/>
    <w:rsid w:val="00660ABF"/>
    <w:rsid w:val="00661DC8"/>
    <w:rsid w:val="00664B8A"/>
    <w:rsid w:val="006800F9"/>
    <w:rsid w:val="00686BF3"/>
    <w:rsid w:val="00692DC6"/>
    <w:rsid w:val="00693BE8"/>
    <w:rsid w:val="00694123"/>
    <w:rsid w:val="006A0A8A"/>
    <w:rsid w:val="006A147B"/>
    <w:rsid w:val="006A172E"/>
    <w:rsid w:val="006A2E9A"/>
    <w:rsid w:val="006A6638"/>
    <w:rsid w:val="006B1E44"/>
    <w:rsid w:val="006B7FF0"/>
    <w:rsid w:val="006C07D5"/>
    <w:rsid w:val="006C5EF5"/>
    <w:rsid w:val="006C6435"/>
    <w:rsid w:val="006D19ED"/>
    <w:rsid w:val="006E05B5"/>
    <w:rsid w:val="006E0C85"/>
    <w:rsid w:val="006E3E2A"/>
    <w:rsid w:val="006E6E5B"/>
    <w:rsid w:val="006F087F"/>
    <w:rsid w:val="006F1907"/>
    <w:rsid w:val="006F2BB2"/>
    <w:rsid w:val="006F4593"/>
    <w:rsid w:val="006F5B9D"/>
    <w:rsid w:val="0070265C"/>
    <w:rsid w:val="00704D5E"/>
    <w:rsid w:val="00706649"/>
    <w:rsid w:val="00706852"/>
    <w:rsid w:val="00707E78"/>
    <w:rsid w:val="007145E5"/>
    <w:rsid w:val="0071529E"/>
    <w:rsid w:val="00715D85"/>
    <w:rsid w:val="007243C3"/>
    <w:rsid w:val="00724E79"/>
    <w:rsid w:val="0072724E"/>
    <w:rsid w:val="00731D93"/>
    <w:rsid w:val="00732445"/>
    <w:rsid w:val="00734DC3"/>
    <w:rsid w:val="00736A43"/>
    <w:rsid w:val="007400A0"/>
    <w:rsid w:val="00742F56"/>
    <w:rsid w:val="00744C60"/>
    <w:rsid w:val="00744E70"/>
    <w:rsid w:val="0074556A"/>
    <w:rsid w:val="00760362"/>
    <w:rsid w:val="007606D4"/>
    <w:rsid w:val="007645D2"/>
    <w:rsid w:val="00766D0A"/>
    <w:rsid w:val="007727C2"/>
    <w:rsid w:val="00775134"/>
    <w:rsid w:val="00775FD4"/>
    <w:rsid w:val="00780E34"/>
    <w:rsid w:val="007812B3"/>
    <w:rsid w:val="00781897"/>
    <w:rsid w:val="00781AD3"/>
    <w:rsid w:val="00783DA7"/>
    <w:rsid w:val="0078650C"/>
    <w:rsid w:val="00791BFC"/>
    <w:rsid w:val="0079474F"/>
    <w:rsid w:val="007953B4"/>
    <w:rsid w:val="00796742"/>
    <w:rsid w:val="007978AC"/>
    <w:rsid w:val="007A0EE6"/>
    <w:rsid w:val="007A36A7"/>
    <w:rsid w:val="007B18BB"/>
    <w:rsid w:val="007D2C06"/>
    <w:rsid w:val="007D5BBD"/>
    <w:rsid w:val="007E05DE"/>
    <w:rsid w:val="007E3B48"/>
    <w:rsid w:val="007E4846"/>
    <w:rsid w:val="007E666D"/>
    <w:rsid w:val="007F40DD"/>
    <w:rsid w:val="0080268F"/>
    <w:rsid w:val="008106AD"/>
    <w:rsid w:val="00811748"/>
    <w:rsid w:val="00814326"/>
    <w:rsid w:val="00814B64"/>
    <w:rsid w:val="00815616"/>
    <w:rsid w:val="00816E6B"/>
    <w:rsid w:val="0082095D"/>
    <w:rsid w:val="00824E40"/>
    <w:rsid w:val="0082602A"/>
    <w:rsid w:val="00835301"/>
    <w:rsid w:val="00837201"/>
    <w:rsid w:val="00840099"/>
    <w:rsid w:val="0084288B"/>
    <w:rsid w:val="00847955"/>
    <w:rsid w:val="00853F36"/>
    <w:rsid w:val="00856C70"/>
    <w:rsid w:val="008576BA"/>
    <w:rsid w:val="00860E2B"/>
    <w:rsid w:val="00862546"/>
    <w:rsid w:val="00862F66"/>
    <w:rsid w:val="0086688D"/>
    <w:rsid w:val="00872DA7"/>
    <w:rsid w:val="00875100"/>
    <w:rsid w:val="00881B8B"/>
    <w:rsid w:val="00882F05"/>
    <w:rsid w:val="00883235"/>
    <w:rsid w:val="008834C6"/>
    <w:rsid w:val="0088659C"/>
    <w:rsid w:val="00887742"/>
    <w:rsid w:val="00887DD9"/>
    <w:rsid w:val="00891F42"/>
    <w:rsid w:val="00894F7C"/>
    <w:rsid w:val="00896DDB"/>
    <w:rsid w:val="00897511"/>
    <w:rsid w:val="008A2028"/>
    <w:rsid w:val="008A25C5"/>
    <w:rsid w:val="008A36B8"/>
    <w:rsid w:val="008B1190"/>
    <w:rsid w:val="008B22F9"/>
    <w:rsid w:val="008C5856"/>
    <w:rsid w:val="008D0F61"/>
    <w:rsid w:val="008E43B8"/>
    <w:rsid w:val="008F0A78"/>
    <w:rsid w:val="008F62B8"/>
    <w:rsid w:val="008F6A2B"/>
    <w:rsid w:val="008F6E94"/>
    <w:rsid w:val="00907540"/>
    <w:rsid w:val="00912AFC"/>
    <w:rsid w:val="00912C97"/>
    <w:rsid w:val="00916808"/>
    <w:rsid w:val="00924889"/>
    <w:rsid w:val="00926746"/>
    <w:rsid w:val="009321C4"/>
    <w:rsid w:val="0093226A"/>
    <w:rsid w:val="009322A7"/>
    <w:rsid w:val="00933A63"/>
    <w:rsid w:val="00935A80"/>
    <w:rsid w:val="009374A9"/>
    <w:rsid w:val="00941411"/>
    <w:rsid w:val="00942AE8"/>
    <w:rsid w:val="009432BC"/>
    <w:rsid w:val="00947006"/>
    <w:rsid w:val="009509D9"/>
    <w:rsid w:val="0095173C"/>
    <w:rsid w:val="00957B48"/>
    <w:rsid w:val="009601A9"/>
    <w:rsid w:val="00964B77"/>
    <w:rsid w:val="0097191C"/>
    <w:rsid w:val="00974748"/>
    <w:rsid w:val="00981806"/>
    <w:rsid w:val="009818A2"/>
    <w:rsid w:val="00981DA8"/>
    <w:rsid w:val="009845D1"/>
    <w:rsid w:val="00985540"/>
    <w:rsid w:val="009859BE"/>
    <w:rsid w:val="009867FB"/>
    <w:rsid w:val="009873AB"/>
    <w:rsid w:val="00994B18"/>
    <w:rsid w:val="009A2834"/>
    <w:rsid w:val="009A4FDB"/>
    <w:rsid w:val="009A5998"/>
    <w:rsid w:val="009B04A3"/>
    <w:rsid w:val="009B124C"/>
    <w:rsid w:val="009B6A4F"/>
    <w:rsid w:val="009D2191"/>
    <w:rsid w:val="009E3109"/>
    <w:rsid w:val="009E346F"/>
    <w:rsid w:val="009E6889"/>
    <w:rsid w:val="009F5428"/>
    <w:rsid w:val="00A01EA5"/>
    <w:rsid w:val="00A030BF"/>
    <w:rsid w:val="00A039BA"/>
    <w:rsid w:val="00A0478D"/>
    <w:rsid w:val="00A05F04"/>
    <w:rsid w:val="00A063E6"/>
    <w:rsid w:val="00A074EE"/>
    <w:rsid w:val="00A16BED"/>
    <w:rsid w:val="00A20337"/>
    <w:rsid w:val="00A23743"/>
    <w:rsid w:val="00A27CEA"/>
    <w:rsid w:val="00A3034C"/>
    <w:rsid w:val="00A30BDA"/>
    <w:rsid w:val="00A30EC6"/>
    <w:rsid w:val="00A319F1"/>
    <w:rsid w:val="00A32A82"/>
    <w:rsid w:val="00A36EC2"/>
    <w:rsid w:val="00A36FFC"/>
    <w:rsid w:val="00A543FC"/>
    <w:rsid w:val="00A614BF"/>
    <w:rsid w:val="00A63038"/>
    <w:rsid w:val="00A66CC3"/>
    <w:rsid w:val="00A72445"/>
    <w:rsid w:val="00A73FC1"/>
    <w:rsid w:val="00A75DB9"/>
    <w:rsid w:val="00A77588"/>
    <w:rsid w:val="00A80BF8"/>
    <w:rsid w:val="00A827B5"/>
    <w:rsid w:val="00A83EF3"/>
    <w:rsid w:val="00A915BE"/>
    <w:rsid w:val="00A979BB"/>
    <w:rsid w:val="00AC0658"/>
    <w:rsid w:val="00AC2372"/>
    <w:rsid w:val="00AC32AB"/>
    <w:rsid w:val="00AC3658"/>
    <w:rsid w:val="00AC4A6B"/>
    <w:rsid w:val="00AD056F"/>
    <w:rsid w:val="00AD099A"/>
    <w:rsid w:val="00AD50BD"/>
    <w:rsid w:val="00AD5DEB"/>
    <w:rsid w:val="00AD699D"/>
    <w:rsid w:val="00AE515A"/>
    <w:rsid w:val="00AE79E9"/>
    <w:rsid w:val="00AF29F7"/>
    <w:rsid w:val="00AF54AD"/>
    <w:rsid w:val="00B05E6F"/>
    <w:rsid w:val="00B06DFB"/>
    <w:rsid w:val="00B07A59"/>
    <w:rsid w:val="00B11B6D"/>
    <w:rsid w:val="00B239DE"/>
    <w:rsid w:val="00B23AA4"/>
    <w:rsid w:val="00B266A1"/>
    <w:rsid w:val="00B268FE"/>
    <w:rsid w:val="00B2694F"/>
    <w:rsid w:val="00B30CBD"/>
    <w:rsid w:val="00B37A78"/>
    <w:rsid w:val="00B50E9E"/>
    <w:rsid w:val="00B53877"/>
    <w:rsid w:val="00B543C1"/>
    <w:rsid w:val="00B545F5"/>
    <w:rsid w:val="00B566A5"/>
    <w:rsid w:val="00B56FE8"/>
    <w:rsid w:val="00B60476"/>
    <w:rsid w:val="00B6064D"/>
    <w:rsid w:val="00B6096A"/>
    <w:rsid w:val="00B65A78"/>
    <w:rsid w:val="00B70F92"/>
    <w:rsid w:val="00B718F9"/>
    <w:rsid w:val="00B73076"/>
    <w:rsid w:val="00B80708"/>
    <w:rsid w:val="00B8604F"/>
    <w:rsid w:val="00B92057"/>
    <w:rsid w:val="00B925E0"/>
    <w:rsid w:val="00B92867"/>
    <w:rsid w:val="00B933AD"/>
    <w:rsid w:val="00B93562"/>
    <w:rsid w:val="00B97C28"/>
    <w:rsid w:val="00BA0432"/>
    <w:rsid w:val="00BA0A51"/>
    <w:rsid w:val="00BA4638"/>
    <w:rsid w:val="00BA6838"/>
    <w:rsid w:val="00BA6DB9"/>
    <w:rsid w:val="00BB0915"/>
    <w:rsid w:val="00BB1678"/>
    <w:rsid w:val="00BB25A6"/>
    <w:rsid w:val="00BB5A11"/>
    <w:rsid w:val="00BB5C23"/>
    <w:rsid w:val="00BB67B7"/>
    <w:rsid w:val="00BC0C29"/>
    <w:rsid w:val="00BC5098"/>
    <w:rsid w:val="00BC70F9"/>
    <w:rsid w:val="00BD1E4E"/>
    <w:rsid w:val="00BD434E"/>
    <w:rsid w:val="00BD4D30"/>
    <w:rsid w:val="00BD7473"/>
    <w:rsid w:val="00BE0434"/>
    <w:rsid w:val="00BE0872"/>
    <w:rsid w:val="00BE193B"/>
    <w:rsid w:val="00BE2921"/>
    <w:rsid w:val="00BE3597"/>
    <w:rsid w:val="00BE43E3"/>
    <w:rsid w:val="00BF2F3B"/>
    <w:rsid w:val="00BF5A06"/>
    <w:rsid w:val="00BF66EC"/>
    <w:rsid w:val="00BF6A9A"/>
    <w:rsid w:val="00C00985"/>
    <w:rsid w:val="00C00AD7"/>
    <w:rsid w:val="00C05FC0"/>
    <w:rsid w:val="00C07245"/>
    <w:rsid w:val="00C1023A"/>
    <w:rsid w:val="00C1213D"/>
    <w:rsid w:val="00C162AB"/>
    <w:rsid w:val="00C21E65"/>
    <w:rsid w:val="00C24B17"/>
    <w:rsid w:val="00C24CF5"/>
    <w:rsid w:val="00C265ED"/>
    <w:rsid w:val="00C34E08"/>
    <w:rsid w:val="00C3734F"/>
    <w:rsid w:val="00C37874"/>
    <w:rsid w:val="00C42184"/>
    <w:rsid w:val="00C474FD"/>
    <w:rsid w:val="00C517E8"/>
    <w:rsid w:val="00C54E21"/>
    <w:rsid w:val="00C55AB2"/>
    <w:rsid w:val="00C56507"/>
    <w:rsid w:val="00C610B4"/>
    <w:rsid w:val="00C64930"/>
    <w:rsid w:val="00C65DF2"/>
    <w:rsid w:val="00C66BD6"/>
    <w:rsid w:val="00C71300"/>
    <w:rsid w:val="00C72A24"/>
    <w:rsid w:val="00C73579"/>
    <w:rsid w:val="00C767B8"/>
    <w:rsid w:val="00C77737"/>
    <w:rsid w:val="00C876C6"/>
    <w:rsid w:val="00C94E4F"/>
    <w:rsid w:val="00C951D2"/>
    <w:rsid w:val="00C9579A"/>
    <w:rsid w:val="00CA63D2"/>
    <w:rsid w:val="00CA6DFF"/>
    <w:rsid w:val="00CA7C35"/>
    <w:rsid w:val="00CB0F39"/>
    <w:rsid w:val="00CB203B"/>
    <w:rsid w:val="00CB2BA8"/>
    <w:rsid w:val="00CB60A9"/>
    <w:rsid w:val="00CC66CA"/>
    <w:rsid w:val="00CC7F01"/>
    <w:rsid w:val="00CD1BAA"/>
    <w:rsid w:val="00CD2787"/>
    <w:rsid w:val="00CD409B"/>
    <w:rsid w:val="00CD5083"/>
    <w:rsid w:val="00CD5D35"/>
    <w:rsid w:val="00CD7B23"/>
    <w:rsid w:val="00CE2BCC"/>
    <w:rsid w:val="00CE2C20"/>
    <w:rsid w:val="00CE645D"/>
    <w:rsid w:val="00CF073F"/>
    <w:rsid w:val="00D02C6D"/>
    <w:rsid w:val="00D0345C"/>
    <w:rsid w:val="00D03A6A"/>
    <w:rsid w:val="00D0409D"/>
    <w:rsid w:val="00D1309A"/>
    <w:rsid w:val="00D136C0"/>
    <w:rsid w:val="00D23165"/>
    <w:rsid w:val="00D266D8"/>
    <w:rsid w:val="00D303D8"/>
    <w:rsid w:val="00D331E3"/>
    <w:rsid w:val="00D34DF9"/>
    <w:rsid w:val="00D3609B"/>
    <w:rsid w:val="00D36AF8"/>
    <w:rsid w:val="00D37492"/>
    <w:rsid w:val="00D37B65"/>
    <w:rsid w:val="00D4076D"/>
    <w:rsid w:val="00D43A80"/>
    <w:rsid w:val="00D43A88"/>
    <w:rsid w:val="00D443B0"/>
    <w:rsid w:val="00D45A3B"/>
    <w:rsid w:val="00D46B5A"/>
    <w:rsid w:val="00D52126"/>
    <w:rsid w:val="00D525F1"/>
    <w:rsid w:val="00D55E2F"/>
    <w:rsid w:val="00D55E3A"/>
    <w:rsid w:val="00D65F8D"/>
    <w:rsid w:val="00D67F94"/>
    <w:rsid w:val="00D70D1B"/>
    <w:rsid w:val="00D83302"/>
    <w:rsid w:val="00D85DE1"/>
    <w:rsid w:val="00D8705C"/>
    <w:rsid w:val="00D9301B"/>
    <w:rsid w:val="00D95495"/>
    <w:rsid w:val="00D954E3"/>
    <w:rsid w:val="00D96D85"/>
    <w:rsid w:val="00DA55C1"/>
    <w:rsid w:val="00DA6448"/>
    <w:rsid w:val="00DA7F6A"/>
    <w:rsid w:val="00DB1F0C"/>
    <w:rsid w:val="00DB3B5E"/>
    <w:rsid w:val="00DB675E"/>
    <w:rsid w:val="00DB7AE8"/>
    <w:rsid w:val="00DC1205"/>
    <w:rsid w:val="00DC28D7"/>
    <w:rsid w:val="00DC2B3A"/>
    <w:rsid w:val="00DC434C"/>
    <w:rsid w:val="00DC63EF"/>
    <w:rsid w:val="00DC7085"/>
    <w:rsid w:val="00DD0300"/>
    <w:rsid w:val="00DD1F96"/>
    <w:rsid w:val="00DD4808"/>
    <w:rsid w:val="00DD64C8"/>
    <w:rsid w:val="00DD74AC"/>
    <w:rsid w:val="00DE2150"/>
    <w:rsid w:val="00DF05F4"/>
    <w:rsid w:val="00DF296B"/>
    <w:rsid w:val="00DF5FEE"/>
    <w:rsid w:val="00E01EA0"/>
    <w:rsid w:val="00E049CF"/>
    <w:rsid w:val="00E11579"/>
    <w:rsid w:val="00E131CA"/>
    <w:rsid w:val="00E13DD6"/>
    <w:rsid w:val="00E14017"/>
    <w:rsid w:val="00E1620C"/>
    <w:rsid w:val="00E2304A"/>
    <w:rsid w:val="00E276B7"/>
    <w:rsid w:val="00E27766"/>
    <w:rsid w:val="00E300AF"/>
    <w:rsid w:val="00E30FC2"/>
    <w:rsid w:val="00E33AD0"/>
    <w:rsid w:val="00E33D36"/>
    <w:rsid w:val="00E34E05"/>
    <w:rsid w:val="00E3590F"/>
    <w:rsid w:val="00E546DF"/>
    <w:rsid w:val="00E554EA"/>
    <w:rsid w:val="00E663F2"/>
    <w:rsid w:val="00E7310B"/>
    <w:rsid w:val="00E7589C"/>
    <w:rsid w:val="00E7792B"/>
    <w:rsid w:val="00E801DC"/>
    <w:rsid w:val="00E81134"/>
    <w:rsid w:val="00E839FB"/>
    <w:rsid w:val="00E86F3A"/>
    <w:rsid w:val="00E97E94"/>
    <w:rsid w:val="00EA2E1D"/>
    <w:rsid w:val="00EA6AEB"/>
    <w:rsid w:val="00EA7F98"/>
    <w:rsid w:val="00EB0494"/>
    <w:rsid w:val="00EB1D27"/>
    <w:rsid w:val="00EB54A2"/>
    <w:rsid w:val="00EB5AA1"/>
    <w:rsid w:val="00EC2D43"/>
    <w:rsid w:val="00ED0C97"/>
    <w:rsid w:val="00ED113D"/>
    <w:rsid w:val="00ED7325"/>
    <w:rsid w:val="00EF4287"/>
    <w:rsid w:val="00EF5597"/>
    <w:rsid w:val="00F01998"/>
    <w:rsid w:val="00F026F2"/>
    <w:rsid w:val="00F04B4C"/>
    <w:rsid w:val="00F06CDD"/>
    <w:rsid w:val="00F10608"/>
    <w:rsid w:val="00F16440"/>
    <w:rsid w:val="00F16883"/>
    <w:rsid w:val="00F1704E"/>
    <w:rsid w:val="00F218C1"/>
    <w:rsid w:val="00F230F5"/>
    <w:rsid w:val="00F239FD"/>
    <w:rsid w:val="00F244CC"/>
    <w:rsid w:val="00F2750F"/>
    <w:rsid w:val="00F31A34"/>
    <w:rsid w:val="00F31E09"/>
    <w:rsid w:val="00F42539"/>
    <w:rsid w:val="00F4302D"/>
    <w:rsid w:val="00F43147"/>
    <w:rsid w:val="00F432CB"/>
    <w:rsid w:val="00F50727"/>
    <w:rsid w:val="00F51DB7"/>
    <w:rsid w:val="00F54B12"/>
    <w:rsid w:val="00F62758"/>
    <w:rsid w:val="00F62AE8"/>
    <w:rsid w:val="00F654A7"/>
    <w:rsid w:val="00F751DE"/>
    <w:rsid w:val="00F7673F"/>
    <w:rsid w:val="00F76804"/>
    <w:rsid w:val="00F80415"/>
    <w:rsid w:val="00F8102A"/>
    <w:rsid w:val="00F84CBB"/>
    <w:rsid w:val="00F87406"/>
    <w:rsid w:val="00F87FC8"/>
    <w:rsid w:val="00F91A6A"/>
    <w:rsid w:val="00FA009F"/>
    <w:rsid w:val="00FA4291"/>
    <w:rsid w:val="00FA5391"/>
    <w:rsid w:val="00FA6CF4"/>
    <w:rsid w:val="00FB0BE8"/>
    <w:rsid w:val="00FC14E5"/>
    <w:rsid w:val="00FC1B3B"/>
    <w:rsid w:val="00FC5219"/>
    <w:rsid w:val="00FD1EEA"/>
    <w:rsid w:val="00FD778E"/>
    <w:rsid w:val="00FE3045"/>
    <w:rsid w:val="00FE5AEB"/>
    <w:rsid w:val="00FF109A"/>
    <w:rsid w:val="00FF27E7"/>
    <w:rsid w:val="00FF538B"/>
    <w:rsid w:val="00FF7F38"/>
    <w:rsid w:val="039C5442"/>
    <w:rsid w:val="050A1096"/>
    <w:rsid w:val="09836607"/>
    <w:rsid w:val="09FD05EE"/>
    <w:rsid w:val="0BD31B10"/>
    <w:rsid w:val="0C56381E"/>
    <w:rsid w:val="0E3F58B5"/>
    <w:rsid w:val="0F6B0AEA"/>
    <w:rsid w:val="10126192"/>
    <w:rsid w:val="1097590F"/>
    <w:rsid w:val="14EE3786"/>
    <w:rsid w:val="183355E9"/>
    <w:rsid w:val="19330DBD"/>
    <w:rsid w:val="1A0F5CDB"/>
    <w:rsid w:val="1F115F72"/>
    <w:rsid w:val="221E1DAA"/>
    <w:rsid w:val="22A174EC"/>
    <w:rsid w:val="23951D5B"/>
    <w:rsid w:val="26BB03D1"/>
    <w:rsid w:val="27695E37"/>
    <w:rsid w:val="29736AC1"/>
    <w:rsid w:val="2A1E01A9"/>
    <w:rsid w:val="2C5F4402"/>
    <w:rsid w:val="2D1C439D"/>
    <w:rsid w:val="2D6051EC"/>
    <w:rsid w:val="2DC91521"/>
    <w:rsid w:val="2E1346E9"/>
    <w:rsid w:val="2F292D40"/>
    <w:rsid w:val="30916476"/>
    <w:rsid w:val="3110679C"/>
    <w:rsid w:val="35254A14"/>
    <w:rsid w:val="35934571"/>
    <w:rsid w:val="35B3402E"/>
    <w:rsid w:val="388A1F44"/>
    <w:rsid w:val="3B7F0C9B"/>
    <w:rsid w:val="3C125245"/>
    <w:rsid w:val="3CE758E8"/>
    <w:rsid w:val="3D8512D2"/>
    <w:rsid w:val="403315B9"/>
    <w:rsid w:val="42444F03"/>
    <w:rsid w:val="42A233A0"/>
    <w:rsid w:val="435153D1"/>
    <w:rsid w:val="45E4196F"/>
    <w:rsid w:val="485C36A3"/>
    <w:rsid w:val="48BC38E9"/>
    <w:rsid w:val="49025C63"/>
    <w:rsid w:val="4A7F05E8"/>
    <w:rsid w:val="55ED2937"/>
    <w:rsid w:val="575B57D8"/>
    <w:rsid w:val="5A055763"/>
    <w:rsid w:val="5BF925A6"/>
    <w:rsid w:val="61537013"/>
    <w:rsid w:val="662B4291"/>
    <w:rsid w:val="66362EBA"/>
    <w:rsid w:val="667C039E"/>
    <w:rsid w:val="67AF33CD"/>
    <w:rsid w:val="6968148A"/>
    <w:rsid w:val="697119CE"/>
    <w:rsid w:val="6A8A3E6E"/>
    <w:rsid w:val="6B0842AE"/>
    <w:rsid w:val="6B6B2D4C"/>
    <w:rsid w:val="6D111A8B"/>
    <w:rsid w:val="6FAD0E48"/>
    <w:rsid w:val="73807EBE"/>
    <w:rsid w:val="744651AE"/>
    <w:rsid w:val="74D45B78"/>
    <w:rsid w:val="78D37FAF"/>
    <w:rsid w:val="799D05BD"/>
    <w:rsid w:val="79A4267D"/>
    <w:rsid w:val="7BCB3631"/>
    <w:rsid w:val="7E9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4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customStyle="1" w:styleId="17">
    <w:name w:val="Основной текст с отступом 2 Знак"/>
    <w:basedOn w:val="3"/>
    <w:link w:val="11"/>
    <w:qFormat/>
    <w:uiPriority w:val="99"/>
  </w:style>
  <w:style w:type="paragraph" w:customStyle="1" w:styleId="18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19">
    <w:name w:val="Верхний колонтитул Знак"/>
    <w:basedOn w:val="3"/>
    <w:link w:val="7"/>
    <w:qFormat/>
    <w:uiPriority w:val="99"/>
  </w:style>
  <w:style w:type="character" w:customStyle="1" w:styleId="20">
    <w:name w:val="Нижний колонтитул Знак"/>
    <w:basedOn w:val="3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0584-1498-4E3E-936E-BA6ACB0B7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4971</Words>
  <Characters>28336</Characters>
  <Lines>236</Lines>
  <Paragraphs>66</Paragraphs>
  <TotalTime>8</TotalTime>
  <ScaleCrop>false</ScaleCrop>
  <LinksUpToDate>false</LinksUpToDate>
  <CharactersWithSpaces>33241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2023-04-13T06:42:00Z</dcterms:created>
  <dc:creator>KSP1</dc:creator>
  <cp:lastModifiedBy>y_zhuravleva</cp:lastModifiedBy>
  <cp:lastPrinted>2024-04-22T04:51:00Z</cp:lastPrinted>
  <dcterms:modified xsi:type="dcterms:W3CDTF">2025-04-21T05:22:25Z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5026ED70E8044514A5A65CD8184D6466</vt:lpwstr>
  </property>
</Properties>
</file>