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E60ADE">
      <w:pPr>
        <w:spacing w:after="0" w:line="240" w:lineRule="auto"/>
        <w:jc w:val="center"/>
        <w:outlineLvl w:val="0"/>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КОНТРОЛЬНО - СЧЕТНАЯ ПАЛАТА МУНИЦИПАЛЬНОГО ОБРАЗОВАНИЯ </w:t>
      </w:r>
    </w:p>
    <w:p w14:paraId="4672F065">
      <w:pPr>
        <w:spacing w:after="0" w:line="240" w:lineRule="auto"/>
        <w:jc w:val="center"/>
        <w:outlineLvl w:val="0"/>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«АХТУБИНСКИЙ МУНИЦИПАЛЬНЫЙ РАЙОН АСТРАХАНСКОЙ ОБЛАСТИ»</w:t>
      </w:r>
    </w:p>
    <w:p w14:paraId="46C73752">
      <w:pPr>
        <w:spacing w:after="0" w:line="240" w:lineRule="auto"/>
        <w:jc w:val="center"/>
        <w:outlineLvl w:val="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Волгоградская ул., д.141,г. Ахтубинск, Астраханская обл.,416500, Тел. (8-85141) 4-04-24 </w:t>
      </w:r>
    </w:p>
    <w:p w14:paraId="07C0F2C7">
      <w:pPr>
        <w:spacing w:after="0" w:line="240" w:lineRule="auto"/>
        <w:jc w:val="center"/>
        <w:outlineLvl w:val="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ОКПО 78317643, ОГРН 1063022000282, ИНН/КПП 3001040259/300101001</w:t>
      </w:r>
    </w:p>
    <w:p w14:paraId="0859ACE9">
      <w:pPr>
        <w:spacing w:after="0" w:line="240" w:lineRule="auto"/>
        <w:jc w:val="center"/>
        <w:outlineLvl w:val="0"/>
        <w:rPr>
          <w:rFonts w:ascii="Times New Roman" w:hAnsi="Times New Roman" w:eastAsia="Times New Roman" w:cs="Times New Roman"/>
          <w:sz w:val="24"/>
          <w:szCs w:val="24"/>
          <w:lang w:eastAsia="ru-RU"/>
        </w:rPr>
      </w:pPr>
    </w:p>
    <w:p w14:paraId="0DD2CB9E">
      <w:pPr>
        <w:pBdr>
          <w:top w:val="thinThickSmallGap" w:color="auto" w:sz="24" w:space="1"/>
        </w:pBdr>
        <w:spacing w:after="0" w:line="360" w:lineRule="auto"/>
        <w:jc w:val="center"/>
        <w:rPr>
          <w:rFonts w:ascii="Times New Roman" w:hAnsi="Times New Roman" w:eastAsia="Times New Roman" w:cs="Times New Roman"/>
          <w:sz w:val="24"/>
          <w:szCs w:val="24"/>
          <w:lang w:eastAsia="ru-RU"/>
        </w:rPr>
      </w:pPr>
    </w:p>
    <w:p w14:paraId="5D218E76">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ЗАКЛЮЧЕНИЕ</w:t>
      </w:r>
    </w:p>
    <w:p w14:paraId="77D7171B">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по результатам внешней проверки годовой бюджетной отчетности </w:t>
      </w:r>
    </w:p>
    <w:p w14:paraId="1D57127B">
      <w:pPr>
        <w:spacing w:after="0" w:line="240" w:lineRule="auto"/>
        <w:ind w:right="-144" w:firstLine="1134"/>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Управления образования администрации муниципального образования «</w:t>
      </w:r>
      <w:r>
        <w:rPr>
          <w:rFonts w:ascii="Times New Roman" w:hAnsi="Times New Roman" w:eastAsia="Times New Roman"/>
          <w:b/>
          <w:sz w:val="24"/>
          <w:szCs w:val="24"/>
          <w:lang w:eastAsia="ru-RU"/>
        </w:rPr>
        <w:t>Ахтубинский муниципальный район Астраханской области</w:t>
      </w:r>
      <w:r>
        <w:rPr>
          <w:rFonts w:ascii="Times New Roman" w:hAnsi="Times New Roman" w:eastAsia="Times New Roman" w:cs="Times New Roman"/>
          <w:b/>
          <w:sz w:val="24"/>
          <w:szCs w:val="24"/>
          <w:lang w:eastAsia="ru-RU"/>
        </w:rPr>
        <w:t>» за 2024 год</w:t>
      </w:r>
    </w:p>
    <w:p w14:paraId="7D3C46B6">
      <w:pPr>
        <w:spacing w:after="0" w:line="240" w:lineRule="auto"/>
        <w:ind w:firstLine="567"/>
        <w:jc w:val="center"/>
        <w:rPr>
          <w:rFonts w:ascii="Times New Roman" w:hAnsi="Times New Roman" w:eastAsia="Times New Roman" w:cs="Times New Roman"/>
          <w:b/>
          <w:sz w:val="24"/>
          <w:szCs w:val="24"/>
          <w:lang w:eastAsia="ru-RU"/>
        </w:rPr>
      </w:pPr>
    </w:p>
    <w:p w14:paraId="235782D2">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18.04.2025г.</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№З-13/2025</w:t>
      </w:r>
    </w:p>
    <w:p w14:paraId="7BE4384E">
      <w:pPr>
        <w:spacing w:after="0" w:line="240" w:lineRule="auto"/>
        <w:ind w:firstLine="567"/>
        <w:rPr>
          <w:rFonts w:ascii="Times New Roman" w:hAnsi="Times New Roman" w:eastAsia="Times New Roman" w:cs="Times New Roman"/>
          <w:sz w:val="24"/>
          <w:szCs w:val="24"/>
          <w:lang w:eastAsia="ru-RU"/>
        </w:rPr>
      </w:pPr>
    </w:p>
    <w:p w14:paraId="1F5D1D0C">
      <w:pPr>
        <w:spacing w:after="0" w:line="240" w:lineRule="auto"/>
        <w:ind w:right="-2"/>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Основание для проведения контрольного мероприятия: </w:t>
      </w:r>
      <w:r>
        <w:rPr>
          <w:rFonts w:ascii="Times New Roman" w:hAnsi="Times New Roman" w:eastAsia="Times New Roman" w:cs="Times New Roman"/>
          <w:sz w:val="24"/>
          <w:szCs w:val="24"/>
          <w:lang w:eastAsia="ru-RU"/>
        </w:rPr>
        <w:t>Статья 264.4 Бюджетного кодекса Российской Федерации, п.3.1 Плана работы Контрольно-счетной палаты муниципального образования «Ахтубинский муниципальный район Астраханской области» на 2025 год, распоряжение Контрольно-счетной палаты муниципального образования «Ахтубинский муниципальный район Астраханской области» от 25.03.2025г. №10-р.</w:t>
      </w:r>
    </w:p>
    <w:p w14:paraId="4E9FFEA9">
      <w:pPr>
        <w:spacing w:after="0" w:line="240" w:lineRule="auto"/>
        <w:ind w:right="-2"/>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Целью проведения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b/>
          <w:sz w:val="24"/>
          <w:szCs w:val="24"/>
          <w:lang w:eastAsia="ru-RU"/>
        </w:rPr>
        <w:t>внешней проверки являются:</w:t>
      </w:r>
    </w:p>
    <w:p w14:paraId="2A863C55">
      <w:pPr>
        <w:pStyle w:val="16"/>
        <w:numPr>
          <w:ilvl w:val="0"/>
          <w:numId w:val="1"/>
        </w:numPr>
        <w:shd w:val="clear" w:color="auto" w:fill="FFFFFF"/>
        <w:spacing w:after="0" w:line="240" w:lineRule="auto"/>
        <w:ind w:left="567" w:hanging="283"/>
        <w:jc w:val="both"/>
        <w:textAlignment w:val="baseline"/>
        <w:rPr>
          <w:rFonts w:ascii="Times New Roman" w:hAnsi="Times New Roman" w:eastAsia="Times New Roman" w:cs="Times New Roman"/>
          <w:color w:val="2D2D2D"/>
          <w:spacing w:val="2"/>
          <w:sz w:val="24"/>
          <w:szCs w:val="24"/>
          <w:lang w:eastAsia="ru-RU"/>
        </w:rPr>
      </w:pPr>
      <w:r>
        <w:rPr>
          <w:rFonts w:ascii="Times New Roman" w:hAnsi="Times New Roman" w:eastAsia="Times New Roman" w:cs="Times New Roman"/>
          <w:color w:val="2D2D2D"/>
          <w:spacing w:val="2"/>
          <w:sz w:val="24"/>
          <w:szCs w:val="24"/>
          <w:lang w:eastAsia="ru-RU"/>
        </w:rPr>
        <w:t>установление полноты бюджетной отчетности главных администраторов средств районного бюджета;</w:t>
      </w:r>
    </w:p>
    <w:p w14:paraId="2A390BB7">
      <w:pPr>
        <w:pStyle w:val="16"/>
        <w:numPr>
          <w:ilvl w:val="0"/>
          <w:numId w:val="1"/>
        </w:numPr>
        <w:shd w:val="clear" w:color="auto" w:fill="FFFFFF"/>
        <w:spacing w:after="0" w:line="240" w:lineRule="auto"/>
        <w:ind w:left="567" w:hanging="283"/>
        <w:jc w:val="both"/>
        <w:textAlignment w:val="baseline"/>
        <w:rPr>
          <w:rFonts w:ascii="Times New Roman" w:hAnsi="Times New Roman" w:eastAsia="Times New Roman" w:cs="Times New Roman"/>
          <w:color w:val="2D2D2D"/>
          <w:spacing w:val="2"/>
          <w:sz w:val="24"/>
          <w:szCs w:val="24"/>
          <w:lang w:eastAsia="ru-RU"/>
        </w:rPr>
      </w:pPr>
      <w:r>
        <w:rPr>
          <w:rFonts w:ascii="Times New Roman" w:hAnsi="Times New Roman" w:eastAsia="Times New Roman" w:cs="Times New Roman"/>
          <w:color w:val="2D2D2D"/>
          <w:spacing w:val="2"/>
          <w:sz w:val="24"/>
          <w:szCs w:val="24"/>
          <w:lang w:eastAsia="ru-RU"/>
        </w:rPr>
        <w:t>оценка достоверности показателей бюджетной отчетности главных администраторов средств районного бюджета;</w:t>
      </w:r>
    </w:p>
    <w:p w14:paraId="10941099">
      <w:pPr>
        <w:pStyle w:val="16"/>
        <w:numPr>
          <w:ilvl w:val="0"/>
          <w:numId w:val="1"/>
        </w:numPr>
        <w:shd w:val="clear" w:color="auto" w:fill="FFFFFF"/>
        <w:spacing w:after="0" w:line="240" w:lineRule="auto"/>
        <w:ind w:left="567" w:hanging="283"/>
        <w:jc w:val="both"/>
        <w:textAlignment w:val="baseline"/>
        <w:rPr>
          <w:rFonts w:ascii="Times New Roman" w:hAnsi="Times New Roman" w:eastAsia="Times New Roman" w:cs="Times New Roman"/>
          <w:color w:val="2D2D2D"/>
          <w:spacing w:val="2"/>
          <w:sz w:val="24"/>
          <w:szCs w:val="24"/>
          <w:lang w:eastAsia="ru-RU"/>
        </w:rPr>
      </w:pPr>
      <w:r>
        <w:rPr>
          <w:rFonts w:ascii="Times New Roman" w:hAnsi="Times New Roman" w:eastAsia="Times New Roman" w:cs="Times New Roman"/>
          <w:color w:val="2D2D2D"/>
          <w:spacing w:val="2"/>
          <w:sz w:val="24"/>
          <w:szCs w:val="24"/>
          <w:lang w:eastAsia="ru-RU"/>
        </w:rPr>
        <w:t>проверка на соответствие порядку ведения бюджетного учета, законодательству Российской Федерации, Астраханской области, муниципальным правовым актам Ахтубинского района;</w:t>
      </w:r>
    </w:p>
    <w:p w14:paraId="1BAB6196">
      <w:pPr>
        <w:pStyle w:val="16"/>
        <w:numPr>
          <w:ilvl w:val="0"/>
          <w:numId w:val="1"/>
        </w:numPr>
        <w:shd w:val="clear" w:color="auto" w:fill="FFFFFF"/>
        <w:spacing w:after="0" w:line="240" w:lineRule="auto"/>
        <w:ind w:left="567" w:hanging="283"/>
        <w:jc w:val="both"/>
        <w:textAlignment w:val="baseline"/>
        <w:rPr>
          <w:rFonts w:ascii="Times New Roman" w:hAnsi="Times New Roman" w:eastAsia="Times New Roman" w:cs="Times New Roman"/>
          <w:color w:val="2D2D2D"/>
          <w:spacing w:val="2"/>
          <w:sz w:val="24"/>
          <w:szCs w:val="24"/>
          <w:lang w:eastAsia="ru-RU"/>
        </w:rPr>
      </w:pPr>
      <w:r>
        <w:rPr>
          <w:rFonts w:ascii="Times New Roman" w:hAnsi="Times New Roman" w:eastAsia="Times New Roman" w:cs="Times New Roman"/>
          <w:color w:val="2D2D2D"/>
          <w:spacing w:val="2"/>
          <w:sz w:val="24"/>
          <w:szCs w:val="24"/>
          <w:lang w:eastAsia="ru-RU"/>
        </w:rPr>
        <w:t>анализ эффективности и результативности использования бюджетных средств.</w:t>
      </w:r>
    </w:p>
    <w:p w14:paraId="0A92517C">
      <w:pPr>
        <w:spacing w:after="0" w:line="240" w:lineRule="auto"/>
        <w:jc w:val="both"/>
        <w:rPr>
          <w:rFonts w:ascii="Times New Roman" w:hAnsi="Times New Roman" w:eastAsia="Times New Roman" w:cs="Times New Roman"/>
          <w:color w:val="2D2D2D"/>
          <w:spacing w:val="2"/>
          <w:sz w:val="24"/>
          <w:szCs w:val="24"/>
          <w:lang w:eastAsia="ru-RU"/>
        </w:rPr>
      </w:pPr>
      <w:r>
        <w:rPr>
          <w:rFonts w:ascii="Times New Roman" w:hAnsi="Times New Roman" w:eastAsia="Times New Roman" w:cs="Times New Roman"/>
          <w:b/>
          <w:bCs/>
          <w:color w:val="2D2D2D"/>
          <w:spacing w:val="2"/>
          <w:sz w:val="24"/>
          <w:szCs w:val="24"/>
          <w:lang w:eastAsia="ru-RU"/>
        </w:rPr>
        <w:t>Проверяемый период:</w:t>
      </w:r>
      <w:r>
        <w:rPr>
          <w:rFonts w:ascii="Times New Roman" w:hAnsi="Times New Roman" w:eastAsia="Times New Roman" w:cs="Times New Roman"/>
          <w:color w:val="2D2D2D"/>
          <w:spacing w:val="2"/>
          <w:sz w:val="24"/>
          <w:szCs w:val="24"/>
          <w:lang w:eastAsia="ru-RU"/>
        </w:rPr>
        <w:t xml:space="preserve"> 2024 год.</w:t>
      </w:r>
    </w:p>
    <w:p w14:paraId="17702545">
      <w:pPr>
        <w:spacing w:after="0" w:line="240" w:lineRule="auto"/>
        <w:ind w:right="-2"/>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Предметом внешней проверки</w:t>
      </w:r>
      <w:r>
        <w:rPr>
          <w:rFonts w:ascii="Times New Roman" w:hAnsi="Times New Roman" w:eastAsia="Times New Roman" w:cs="Times New Roman"/>
          <w:sz w:val="24"/>
          <w:szCs w:val="24"/>
          <w:lang w:eastAsia="ru-RU"/>
        </w:rPr>
        <w:t xml:space="preserve"> является годовая бюджетная отчетность Управления </w:t>
      </w:r>
      <w:r>
        <w:rPr>
          <w:rFonts w:ascii="Times New Roman" w:hAnsi="Times New Roman" w:eastAsia="Times New Roman"/>
          <w:sz w:val="24"/>
          <w:szCs w:val="24"/>
          <w:lang w:eastAsia="ru-RU"/>
        </w:rPr>
        <w:t>образования администрации муниципального образования «Ахтубинский муниципальный район Астраханской области»</w:t>
      </w:r>
      <w:r>
        <w:rPr>
          <w:rFonts w:ascii="Times New Roman" w:hAnsi="Times New Roman" w:eastAsia="Times New Roman" w:cs="Times New Roman"/>
          <w:sz w:val="24"/>
          <w:szCs w:val="24"/>
          <w:lang w:eastAsia="ru-RU"/>
        </w:rPr>
        <w:t xml:space="preserve"> за 2024 год.</w:t>
      </w:r>
    </w:p>
    <w:p w14:paraId="56722625">
      <w:pPr>
        <w:spacing w:after="0" w:line="240" w:lineRule="auto"/>
        <w:ind w:right="-2"/>
        <w:jc w:val="both"/>
        <w:rPr>
          <w:rFonts w:ascii="Times New Roman" w:hAnsi="Times New Roman" w:eastAsia="Times New Roman" w:cs="Times New Roman"/>
          <w:bCs/>
          <w:sz w:val="24"/>
          <w:szCs w:val="24"/>
          <w:lang w:eastAsia="zh-CN"/>
        </w:rPr>
      </w:pPr>
      <w:r>
        <w:rPr>
          <w:rFonts w:ascii="Times New Roman" w:hAnsi="Times New Roman" w:eastAsia="Times New Roman" w:cs="Times New Roman"/>
          <w:b/>
          <w:sz w:val="24"/>
          <w:szCs w:val="24"/>
          <w:lang w:eastAsia="zh-CN"/>
        </w:rPr>
        <w:t xml:space="preserve">Метод проведения проверки: </w:t>
      </w:r>
      <w:r>
        <w:rPr>
          <w:rFonts w:ascii="Times New Roman" w:hAnsi="Times New Roman" w:eastAsia="Times New Roman" w:cs="Times New Roman"/>
          <w:bCs/>
          <w:sz w:val="24"/>
          <w:szCs w:val="24"/>
          <w:lang w:eastAsia="zh-CN"/>
        </w:rPr>
        <w:t>камеральный, выборочный.</w:t>
      </w:r>
    </w:p>
    <w:p w14:paraId="70E21866">
      <w:pPr>
        <w:spacing w:after="0" w:line="240" w:lineRule="auto"/>
        <w:ind w:right="-2"/>
        <w:jc w:val="both"/>
        <w:rPr>
          <w:rFonts w:ascii="Times New Roman" w:hAnsi="Times New Roman" w:eastAsia="Times New Roman" w:cs="Times New Roman"/>
          <w:bCs/>
          <w:sz w:val="24"/>
          <w:szCs w:val="24"/>
          <w:lang w:eastAsia="zh-CN"/>
        </w:rPr>
      </w:pPr>
      <w:r>
        <w:rPr>
          <w:rFonts w:ascii="Times New Roman" w:hAnsi="Times New Roman" w:eastAsia="Times New Roman" w:cs="Times New Roman"/>
          <w:b/>
          <w:sz w:val="24"/>
          <w:szCs w:val="24"/>
          <w:lang w:eastAsia="zh-CN"/>
        </w:rPr>
        <w:t xml:space="preserve">Срок проведения контрольного мероприятия: </w:t>
      </w:r>
      <w:r>
        <w:rPr>
          <w:rFonts w:ascii="Times New Roman" w:hAnsi="Times New Roman" w:eastAsia="Times New Roman" w:cs="Times New Roman"/>
          <w:bCs/>
          <w:sz w:val="24"/>
          <w:szCs w:val="24"/>
          <w:lang w:eastAsia="zh-CN"/>
        </w:rPr>
        <w:t>с 20.03.2025 г. по 19.04.2025 г.</w:t>
      </w:r>
    </w:p>
    <w:p w14:paraId="7A02E221">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Ответственные должностные лица, подписавшие отчетность:</w:t>
      </w:r>
    </w:p>
    <w:p w14:paraId="57A7DAF3">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Начальник Управления образования администрации муниципального образования «</w:t>
      </w:r>
      <w:r>
        <w:rPr>
          <w:rFonts w:ascii="Times New Roman" w:hAnsi="Times New Roman" w:eastAsia="Times New Roman"/>
          <w:sz w:val="24"/>
          <w:szCs w:val="24"/>
          <w:lang w:eastAsia="ru-RU"/>
        </w:rPr>
        <w:t>Ахтубинский муниципальный район Астраханской области»</w:t>
      </w:r>
      <w:r>
        <w:rPr>
          <w:rFonts w:ascii="Times New Roman" w:hAnsi="Times New Roman" w:eastAsia="Times New Roman" w:cs="Times New Roman"/>
          <w:sz w:val="24"/>
          <w:szCs w:val="24"/>
          <w:lang w:eastAsia="ru-RU"/>
        </w:rPr>
        <w:t xml:space="preserve"> – Гринько Ю.М.</w:t>
      </w:r>
    </w:p>
    <w:p w14:paraId="17EE500A">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Директор МКУ «Централизованная бухгалтерия управлением образования администрации МО «Ахтубинский район» - Прилуцкаяг.К.</w:t>
      </w:r>
    </w:p>
    <w:p w14:paraId="3CF23F39">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Главный бухгалтер МКУ «Централизованная бухгалтерия управления образованием администрации МО «Ахтубинский район» – Каменева И.Н;</w:t>
      </w:r>
    </w:p>
    <w:p w14:paraId="6F48A9BC">
      <w:pPr>
        <w:keepNext w:val="0"/>
        <w:keepLines w:val="0"/>
        <w:pageBreakBefore w:val="0"/>
        <w:widowControl/>
        <w:kinsoku/>
        <w:wordWrap/>
        <w:overflowPunct/>
        <w:topLinePunct w:val="0"/>
        <w:autoSpaceDE/>
        <w:autoSpaceDN/>
        <w:bidi w:val="0"/>
        <w:adjustRightInd/>
        <w:snapToGrid/>
        <w:spacing w:after="109" w:afterLines="30" w:line="240" w:lineRule="auto"/>
        <w:jc w:val="both"/>
        <w:textAlignment w:val="auto"/>
        <w:rPr>
          <w:rFonts w:ascii="Times New Roman" w:hAnsi="Times New Roman" w:eastAsia="Times New Roman" w:cs="Times New Roman"/>
          <w:bCs/>
          <w:sz w:val="24"/>
          <w:szCs w:val="24"/>
          <w:lang w:eastAsia="ru-RU"/>
        </w:rPr>
      </w:pPr>
      <w:r>
        <w:rPr>
          <w:rFonts w:ascii="Times New Roman" w:hAnsi="Times New Roman" w:eastAsia="Times New Roman" w:cs="Times New Roman"/>
          <w:b/>
          <w:sz w:val="24"/>
          <w:szCs w:val="24"/>
          <w:lang w:eastAsia="zh-CN"/>
        </w:rPr>
        <w:t>Исполнитель</w:t>
      </w:r>
      <w:r>
        <w:rPr>
          <w:rFonts w:ascii="Times New Roman" w:hAnsi="Times New Roman" w:eastAsia="Times New Roman" w:cs="Times New Roman"/>
          <w:bCs/>
          <w:sz w:val="24"/>
          <w:szCs w:val="24"/>
          <w:lang w:eastAsia="zh-CN"/>
        </w:rPr>
        <w:t xml:space="preserve"> </w:t>
      </w:r>
      <w:r>
        <w:rPr>
          <w:rFonts w:ascii="Times New Roman" w:hAnsi="Times New Roman" w:eastAsia="Times New Roman" w:cs="Times New Roman"/>
          <w:b/>
          <w:bCs/>
          <w:sz w:val="24"/>
          <w:szCs w:val="24"/>
          <w:lang w:eastAsia="zh-CN"/>
        </w:rPr>
        <w:t>контрольного мероприятия:</w:t>
      </w:r>
      <w:r>
        <w:rPr>
          <w:rFonts w:ascii="Times New Roman" w:hAnsi="Times New Roman" w:eastAsia="Times New Roman" w:cs="Times New Roman"/>
          <w:bCs/>
          <w:sz w:val="24"/>
          <w:szCs w:val="24"/>
          <w:lang w:eastAsia="zh-CN"/>
        </w:rPr>
        <w:t xml:space="preserve"> председатель Контрольно-счетной палаты Журавлева Ю.Ю.</w:t>
      </w:r>
    </w:p>
    <w:p w14:paraId="2D1232B7">
      <w:pPr>
        <w:spacing w:after="0"/>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Применяемые сокращения:</w:t>
      </w:r>
    </w:p>
    <w:p w14:paraId="632C2C36">
      <w:pPr>
        <w:spacing w:after="0"/>
        <w:ind w:firstLine="488" w:firstLineChars="200"/>
        <w:jc w:val="both"/>
        <w:rPr>
          <w:rFonts w:ascii="Times New Roman" w:hAnsi="Times New Roman" w:eastAsia="Times New Roman" w:cs="Times New Roman"/>
          <w:i/>
          <w:iCs/>
          <w:spacing w:val="2"/>
          <w:sz w:val="24"/>
          <w:szCs w:val="24"/>
          <w:lang w:eastAsia="ru-RU"/>
        </w:rPr>
      </w:pPr>
      <w:r>
        <w:rPr>
          <w:rFonts w:ascii="Times New Roman" w:hAnsi="Times New Roman" w:eastAsia="Times New Roman" w:cs="Times New Roman"/>
          <w:spacing w:val="2"/>
          <w:sz w:val="24"/>
          <w:szCs w:val="24"/>
          <w:lang w:eastAsia="ru-RU"/>
        </w:rPr>
        <w:t xml:space="preserve">Контрольно-счетная палата муниципального образования «Ахтубинский муниципальный район Астраханской области» далее - </w:t>
      </w:r>
      <w:r>
        <w:rPr>
          <w:rFonts w:ascii="Times New Roman" w:hAnsi="Times New Roman" w:eastAsia="Times New Roman" w:cs="Times New Roman"/>
          <w:i/>
          <w:iCs/>
          <w:spacing w:val="2"/>
          <w:sz w:val="24"/>
          <w:szCs w:val="24"/>
          <w:lang w:eastAsia="ru-RU"/>
        </w:rPr>
        <w:t>Контрольно-счетная палата, КСП МО «Ахтубинский район»;</w:t>
      </w:r>
    </w:p>
    <w:p w14:paraId="47C392C1">
      <w:pPr>
        <w:pStyle w:val="16"/>
        <w:spacing w:after="120" w:afterLines="50" w:line="240" w:lineRule="auto"/>
        <w:ind w:left="0" w:firstLine="480" w:firstLineChars="200"/>
        <w:jc w:val="both"/>
        <w:rPr>
          <w:rFonts w:ascii="Times New Roman" w:hAnsi="Times New Roman" w:eastAsia="Times New Roman" w:cs="Times New Roman"/>
          <w:i/>
          <w:iCs/>
          <w:sz w:val="24"/>
          <w:szCs w:val="24"/>
          <w:lang w:eastAsia="ru-RU"/>
        </w:rPr>
      </w:pPr>
      <w:r>
        <w:rPr>
          <w:rFonts w:ascii="Times New Roman" w:hAnsi="Times New Roman" w:eastAsia="Times New Roman" w:cs="Times New Roman"/>
          <w:sz w:val="24"/>
          <w:szCs w:val="24"/>
          <w:lang w:eastAsia="ru-RU"/>
        </w:rPr>
        <w:t>Управление образования</w:t>
      </w:r>
      <w:r>
        <w:rPr>
          <w:rFonts w:hint="default"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eastAsia="ru-RU"/>
        </w:rPr>
        <w:t xml:space="preserve">администрации муниципального образования «Ахтубинский муниципальный район Астраханской области» - </w:t>
      </w:r>
      <w:r>
        <w:rPr>
          <w:rFonts w:ascii="Times New Roman" w:hAnsi="Times New Roman" w:eastAsia="Times New Roman" w:cs="Times New Roman"/>
          <w:i/>
          <w:iCs/>
          <w:sz w:val="24"/>
          <w:szCs w:val="24"/>
          <w:lang w:eastAsia="ru-RU"/>
        </w:rPr>
        <w:t>Управление</w:t>
      </w:r>
      <w:r>
        <w:rPr>
          <w:rFonts w:hint="default" w:ascii="Times New Roman" w:hAnsi="Times New Roman" w:eastAsia="Times New Roman" w:cs="Times New Roman"/>
          <w:i/>
          <w:iCs/>
          <w:sz w:val="24"/>
          <w:szCs w:val="24"/>
          <w:lang w:val="en-US" w:eastAsia="ru-RU"/>
        </w:rPr>
        <w:t xml:space="preserve"> образования</w:t>
      </w:r>
      <w:r>
        <w:rPr>
          <w:rFonts w:ascii="Times New Roman" w:hAnsi="Times New Roman" w:eastAsia="Times New Roman" w:cs="Times New Roman"/>
          <w:i/>
          <w:iCs/>
          <w:sz w:val="24"/>
          <w:szCs w:val="24"/>
          <w:lang w:eastAsia="ru-RU"/>
        </w:rPr>
        <w:t>;</w:t>
      </w:r>
    </w:p>
    <w:p w14:paraId="188EC04F">
      <w:pPr>
        <w:pStyle w:val="16"/>
        <w:spacing w:after="120" w:afterLines="50" w:line="240" w:lineRule="auto"/>
        <w:ind w:left="0" w:firstLine="480" w:firstLineChars="200"/>
        <w:jc w:val="both"/>
        <w:rPr>
          <w:rFonts w:ascii="Times New Roman" w:hAnsi="Times New Roman" w:eastAsia="Times New Roman" w:cs="Times New Roman"/>
          <w:i/>
          <w:iCs/>
          <w:sz w:val="24"/>
          <w:szCs w:val="24"/>
          <w:lang w:eastAsia="ru-RU"/>
        </w:rPr>
      </w:pPr>
      <w:r>
        <w:rPr>
          <w:rFonts w:ascii="Times New Roman" w:hAnsi="Times New Roman" w:eastAsia="Times New Roman"/>
          <w:sz w:val="24"/>
          <w:szCs w:val="24"/>
          <w:lang w:eastAsia="ru-RU"/>
        </w:rPr>
        <w:t xml:space="preserve">Администрация муниципального образования «Ахтубинский муниципальный район Астраханской области» - </w:t>
      </w:r>
      <w:r>
        <w:rPr>
          <w:rFonts w:ascii="Times New Roman" w:hAnsi="Times New Roman" w:eastAsia="Times New Roman"/>
          <w:i/>
          <w:iCs/>
          <w:sz w:val="24"/>
          <w:szCs w:val="24"/>
          <w:lang w:eastAsia="ru-RU"/>
        </w:rPr>
        <w:t>Администрация МО «Ахтубинский район»</w:t>
      </w:r>
      <w:r>
        <w:rPr>
          <w:rFonts w:ascii="Times New Roman" w:hAnsi="Times New Roman" w:eastAsia="Times New Roman"/>
          <w:sz w:val="24"/>
          <w:szCs w:val="24"/>
          <w:lang w:eastAsia="ru-RU"/>
        </w:rPr>
        <w:t>;</w:t>
      </w:r>
    </w:p>
    <w:p w14:paraId="4039E560">
      <w:pPr>
        <w:pStyle w:val="16"/>
        <w:spacing w:after="120" w:afterLines="50" w:line="240" w:lineRule="auto"/>
        <w:ind w:left="0" w:firstLine="480" w:firstLineChars="200"/>
        <w:jc w:val="both"/>
        <w:rPr>
          <w:rFonts w:ascii="Times New Roman" w:hAnsi="Times New Roman" w:eastAsia="Times New Roman" w:cs="Times New Roman"/>
          <w:i/>
          <w:iCs/>
          <w:sz w:val="24"/>
          <w:szCs w:val="24"/>
          <w:lang w:eastAsia="ru-RU"/>
        </w:rPr>
      </w:pPr>
      <w:r>
        <w:rPr>
          <w:rFonts w:ascii="Times New Roman" w:hAnsi="Times New Roman"/>
          <w:color w:val="000000" w:themeColor="text1"/>
          <w:sz w:val="24"/>
          <w:szCs w:val="24"/>
          <w14:textFill>
            <w14:solidFill>
              <w14:schemeClr w14:val="tx1"/>
            </w14:solidFill>
          </w14:textFill>
        </w:rPr>
        <w:t xml:space="preserve">Приказ финансового управления администрации муниципального образования «Ахтубинский муниципальный район Астраханской области» «О внесении изменений в сводную бюджетную роспись бюджета муниципального образования «Ахтубинский муниципальный район Астраханской области» на 2024 год и плановый период 2025 и 2026 годов» от 28.12.2024г. №180-С - </w:t>
      </w:r>
      <w:r>
        <w:rPr>
          <w:rFonts w:ascii="Times New Roman" w:hAnsi="Times New Roman"/>
          <w:i/>
          <w:iCs/>
          <w:color w:val="000000" w:themeColor="text1"/>
          <w:sz w:val="24"/>
          <w:szCs w:val="24"/>
          <w14:textFill>
            <w14:solidFill>
              <w14:schemeClr w14:val="tx1"/>
            </w14:solidFill>
          </w14:textFill>
        </w:rPr>
        <w:t>сводная бюджетная роспись от 28.12.2024г.</w:t>
      </w:r>
    </w:p>
    <w:p w14:paraId="1BCDF9D0">
      <w:pPr>
        <w:tabs>
          <w:tab w:val="left" w:pos="0"/>
        </w:tabs>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Заключение подготовлено на основании камеральной проверки годовой бюджетной отчетности главного администратора бюджетных средств муниципального образования «Ахтубинский муниципальный район Астраханской области» за 2024 год, проведенной в соответствии с:</w:t>
      </w:r>
    </w:p>
    <w:p w14:paraId="4AD23CC5">
      <w:pPr>
        <w:pStyle w:val="16"/>
        <w:spacing w:after="0" w:line="240" w:lineRule="auto"/>
        <w:ind w:left="0"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Бюджетным кодексом Российской Федерации (далее – БК РФ);</w:t>
      </w:r>
    </w:p>
    <w:p w14:paraId="41663CF7">
      <w:pPr>
        <w:pStyle w:val="16"/>
        <w:spacing w:after="0" w:line="240" w:lineRule="auto"/>
        <w:ind w:left="0"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Порядком осуществления внешней проверки годового отчета об исполнении бюджета муниципального образования «Ахтубинский район», утвержденным решением Совета МО «Ахтубинский район» от 16.03.2017г №295 (далее – Порядок</w:t>
      </w:r>
      <w:r>
        <w:rPr>
          <w:rFonts w:ascii="Times New Roman" w:hAnsi="Times New Roman" w:cs="Times New Roman"/>
          <w:sz w:val="24"/>
          <w:szCs w:val="24"/>
        </w:rPr>
        <w:t xml:space="preserve"> </w:t>
      </w:r>
      <w:r>
        <w:rPr>
          <w:rFonts w:ascii="Times New Roman" w:hAnsi="Times New Roman" w:eastAsia="Times New Roman" w:cs="Times New Roman"/>
          <w:sz w:val="24"/>
          <w:szCs w:val="24"/>
          <w:lang w:eastAsia="ru-RU"/>
        </w:rPr>
        <w:t xml:space="preserve">от 16.03.2017г №295); </w:t>
      </w:r>
    </w:p>
    <w:p w14:paraId="17A876FF">
      <w:pPr>
        <w:pStyle w:val="16"/>
        <w:spacing w:after="0" w:line="240" w:lineRule="auto"/>
        <w:ind w:left="0"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Приказом Минфина России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№191н);</w:t>
      </w:r>
    </w:p>
    <w:p w14:paraId="0699F4BF">
      <w:pPr>
        <w:pStyle w:val="16"/>
        <w:spacing w:after="0" w:line="240" w:lineRule="auto"/>
        <w:ind w:left="0"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Приказом Минфина России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№157н);</w:t>
      </w:r>
    </w:p>
    <w:p w14:paraId="5B5FB8EE">
      <w:pPr>
        <w:pStyle w:val="16"/>
        <w:spacing w:after="0" w:line="240" w:lineRule="auto"/>
        <w:ind w:left="0"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Приказом Минфина России от 06.12.2010 №162н «Об утверждении Плана счетов бюджетного учета и Инструкции по его применению» (далее – Инструкция №162н).</w:t>
      </w:r>
    </w:p>
    <w:p w14:paraId="3B4B3E0D">
      <w:pPr>
        <w:pStyle w:val="16"/>
        <w:spacing w:after="0" w:line="240" w:lineRule="auto"/>
        <w:ind w:left="0" w:firstLine="567"/>
        <w:jc w:val="both"/>
        <w:rPr>
          <w:rFonts w:ascii="Times New Roman" w:hAnsi="Times New Roman" w:eastAsia="Times New Roman" w:cs="Times New Roman"/>
          <w:sz w:val="24"/>
          <w:szCs w:val="24"/>
          <w:lang w:eastAsia="ru-RU"/>
        </w:rPr>
      </w:pPr>
      <w:r>
        <w:rPr>
          <w:rFonts w:ascii="Times New Roman" w:hAnsi="Times New Roman" w:eastAsia="Times New Roman"/>
          <w:sz w:val="24"/>
          <w:szCs w:val="24"/>
          <w:lang w:eastAsia="ru-RU"/>
        </w:rPr>
        <w:t>- Приказ Минфина России от 31.12.2016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(далее - СГС «Концептуальные основы»);</w:t>
      </w:r>
    </w:p>
    <w:p w14:paraId="6FF7D7CD">
      <w:pPr>
        <w:pStyle w:val="16"/>
        <w:spacing w:after="0" w:line="240" w:lineRule="auto"/>
        <w:ind w:left="0" w:firstLine="567"/>
        <w:jc w:val="both"/>
        <w:rPr>
          <w:rFonts w:ascii="Times New Roman" w:hAnsi="Times New Roman" w:eastAsia="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sz w:val="24"/>
          <w:szCs w:val="24"/>
          <w:lang w:eastAsia="ru-RU"/>
        </w:rPr>
        <w:t>Приказом Минфина России от 31.12.2016 №257н «Об утверждении федерального стандарта бухгалтерского учета для организаций государственного сектора «Основные средства» (далее - Приказ от 31.12.2016 №257н);</w:t>
      </w:r>
    </w:p>
    <w:p w14:paraId="423CBD89">
      <w:pPr>
        <w:pStyle w:val="16"/>
        <w:spacing w:after="0" w:line="240" w:lineRule="auto"/>
        <w:ind w:left="0" w:firstLine="567"/>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Приказ Минфина России от 30.12.2017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(далее - СГС «Учетная политика»);</w:t>
      </w:r>
    </w:p>
    <w:p w14:paraId="6E5A91EC">
      <w:pPr>
        <w:pStyle w:val="16"/>
        <w:spacing w:after="0" w:line="240" w:lineRule="auto"/>
        <w:ind w:left="0" w:firstLine="567"/>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Приказ Минфина России от 15.04.2021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от 15.04.2021 №61н); </w:t>
      </w:r>
    </w:p>
    <w:p w14:paraId="38750D5F">
      <w:pPr>
        <w:pStyle w:val="16"/>
        <w:spacing w:after="72" w:afterLines="30" w:line="240" w:lineRule="auto"/>
        <w:ind w:left="0" w:firstLine="567"/>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Приказ Минфина России от 28.02.2018 №37н "Об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 (далее - Приказ от 28.02.2018 №37н);</w:t>
      </w:r>
    </w:p>
    <w:p w14:paraId="4EB91347">
      <w:pPr>
        <w:pStyle w:val="16"/>
        <w:spacing w:after="72" w:afterLines="30" w:line="240" w:lineRule="auto"/>
        <w:ind w:left="0" w:firstLine="567"/>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Приказ Минфина России от 28.02.2018 №34н "Об утверждении федерального стандарта бухгалтерского учета для организаций государственного сектора "Непроизведенные активы" (далее - Приказ от 28.02.2018г. №34н);</w:t>
      </w:r>
    </w:p>
    <w:p w14:paraId="4E521E33">
      <w:pPr>
        <w:pStyle w:val="16"/>
        <w:spacing w:after="72" w:afterLines="30" w:line="240" w:lineRule="auto"/>
        <w:ind w:left="0" w:firstLine="567"/>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Федеральный закон от 06.12.2011 №402-ФЗ "О бухгалтерском учете" (далее – ФЗ №402 ФЗ).</w:t>
      </w:r>
    </w:p>
    <w:p w14:paraId="5F2580DB">
      <w:pPr>
        <w:pStyle w:val="16"/>
        <w:spacing w:after="72" w:afterLines="30" w:line="240" w:lineRule="auto"/>
        <w:ind w:left="0" w:firstLine="567"/>
        <w:jc w:val="both"/>
        <w:rPr>
          <w:rFonts w:ascii="Times New Roman" w:hAnsi="Times New Roman" w:eastAsia="Times New Roman"/>
          <w:sz w:val="12"/>
          <w:szCs w:val="12"/>
          <w:lang w:eastAsia="ru-RU"/>
        </w:rPr>
      </w:pPr>
    </w:p>
    <w:p w14:paraId="1CBB964C">
      <w:pPr>
        <w:suppressAutoHyphens/>
        <w:spacing w:after="0" w:line="240" w:lineRule="auto"/>
        <w:ind w:firstLine="709"/>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1. Общие сведения.</w:t>
      </w:r>
    </w:p>
    <w:p w14:paraId="56345ED7">
      <w:pPr>
        <w:widowControl w:val="0"/>
        <w:suppressAutoHyphens/>
        <w:overflowPunct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Полное наименование: Управление образования </w:t>
      </w:r>
      <w:r>
        <w:rPr>
          <w:rFonts w:ascii="Times New Roman" w:hAnsi="Times New Roman" w:eastAsia="Times New Roman"/>
          <w:sz w:val="24"/>
          <w:szCs w:val="24"/>
          <w:lang w:eastAsia="ru-RU"/>
        </w:rPr>
        <w:t>администрации муниципального образования «Ахтубинский муниципальный район Астраханской области»</w:t>
      </w:r>
      <w:r>
        <w:rPr>
          <w:rFonts w:ascii="Times New Roman" w:hAnsi="Times New Roman" w:eastAsia="Times New Roman" w:cs="Times New Roman"/>
          <w:sz w:val="24"/>
          <w:szCs w:val="24"/>
          <w:lang w:eastAsia="ru-RU"/>
        </w:rPr>
        <w:t>.</w:t>
      </w:r>
    </w:p>
    <w:p w14:paraId="205BF617">
      <w:pPr>
        <w:widowControl w:val="0"/>
        <w:suppressAutoHyphens/>
        <w:overflowPunct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zh-CN"/>
        </w:rPr>
        <w:t xml:space="preserve">Местонахождение объекта контроля и его юридический адрес: </w:t>
      </w:r>
      <w:r>
        <w:rPr>
          <w:rFonts w:ascii="Times New Roman" w:hAnsi="Times New Roman" w:eastAsia="Times New Roman" w:cs="Times New Roman"/>
          <w:sz w:val="24"/>
          <w:szCs w:val="24"/>
          <w:lang w:eastAsia="ru-RU"/>
        </w:rPr>
        <w:t>416504, Астраханская область,г. Ахтубинск, ул. Орджоникидзе д.24 «А», пом.1.</w:t>
      </w:r>
    </w:p>
    <w:p w14:paraId="2F9E5E20">
      <w:pPr>
        <w:widowControl w:val="0"/>
        <w:suppressAutoHyphens/>
        <w:overflowPunct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Контактная информация: телефон/факс: </w:t>
      </w:r>
      <w:r>
        <w:rPr>
          <w:rFonts w:ascii="Times New Roman" w:hAnsi="Times New Roman" w:eastAsia="Times New Roman" w:cs="Times New Roman"/>
          <w:sz w:val="24"/>
          <w:szCs w:val="24"/>
          <w:lang w:eastAsia="zh-CN"/>
        </w:rPr>
        <w:t>(85141) 5-19-85</w:t>
      </w:r>
      <w:r>
        <w:rPr>
          <w:rFonts w:ascii="Times New Roman" w:hAnsi="Times New Roman" w:eastAsia="Times New Roman" w:cs="Times New Roman"/>
          <w:sz w:val="24"/>
          <w:szCs w:val="24"/>
          <w:lang w:eastAsia="ru-RU"/>
        </w:rPr>
        <w:t xml:space="preserve">. </w:t>
      </w:r>
    </w:p>
    <w:p w14:paraId="04175F93">
      <w:pPr>
        <w:widowControl w:val="0"/>
        <w:suppressAutoHyphens/>
        <w:overflowPunct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Официальная эл. почта: </w:t>
      </w:r>
      <w:r>
        <w:rPr>
          <w:rFonts w:ascii="Times New Roman" w:hAnsi="Times New Roman" w:eastAsia="Times New Roman"/>
          <w:sz w:val="24"/>
          <w:szCs w:val="24"/>
          <w:lang w:val="en-US" w:eastAsia="ru-RU"/>
        </w:rPr>
        <w:t>spetsuo</w:t>
      </w:r>
      <w:r>
        <w:rPr>
          <w:rFonts w:ascii="Times New Roman" w:hAnsi="Times New Roman" w:eastAsia="Times New Roman"/>
          <w:sz w:val="24"/>
          <w:szCs w:val="24"/>
          <w:lang w:eastAsia="ru-RU"/>
        </w:rPr>
        <w:t>@mail.ru</w:t>
      </w:r>
      <w:r>
        <w:rPr>
          <w:rFonts w:ascii="Times New Roman" w:hAnsi="Times New Roman" w:eastAsia="Times New Roman" w:cs="Times New Roman"/>
          <w:sz w:val="24"/>
          <w:szCs w:val="24"/>
          <w:lang w:eastAsia="ru-RU"/>
        </w:rPr>
        <w:t xml:space="preserve"> </w:t>
      </w:r>
    </w:p>
    <w:p w14:paraId="1829789A">
      <w:pPr>
        <w:widowControl w:val="0"/>
        <w:suppressAutoHyphens/>
        <w:overflowPunct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ИНН/КПП: 3001006240/ 300101001.</w:t>
      </w:r>
    </w:p>
    <w:p w14:paraId="5118A01F">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Подведомственные учреждения (41 шт.): МКОУ «СОШ</w:t>
      </w:r>
      <w:r>
        <w:rPr>
          <w:rFonts w:ascii="Times New Roman" w:hAnsi="Times New Roman" w:eastAsia="Times New Roman"/>
          <w:sz w:val="24"/>
          <w:szCs w:val="24"/>
          <w:lang w:eastAsia="ru-RU"/>
        </w:rPr>
        <w:t xml:space="preserve"> №1 с углубленным изучением отдельных предметов имени С.Г.Хуснетдинова МО «Ахтубинский район</w:t>
      </w:r>
      <w:r>
        <w:rPr>
          <w:rFonts w:ascii="Times New Roman" w:hAnsi="Times New Roman" w:eastAsia="Times New Roman" w:cs="Times New Roman"/>
          <w:sz w:val="24"/>
          <w:szCs w:val="24"/>
          <w:lang w:eastAsia="ru-RU"/>
        </w:rPr>
        <w:t>», МКОУ «СОШ №2 МО «Ахтубинский район», МКОУ «СОШ №3 МО «Ахтубинский район», МКОУ «СОШ №4 МО «Ахтубинский район», МКОУ «СОШ №5 МО «Ахтубинский район», МКОУ «СОШ №6 МО «Ахтубинский район», МКОУ «СОШ №8 МО «Ахтубинский район», МКОУ «СОШ №9 МО «Ахтубинский район», МКОУ «СОШ №11 МО «Ахтубинский район», МКОУ «СОШ №12 МО «Ахтубинский район», МКОУ «Капустиноярская СОШ МО «Ахтубинский район», МБОУ «Пироговская ООШ МО «Ахтубинский район», МКОУ «Золотухинская СОШ МО «Ахтубинский район», МКОУ «Болхунская СОШ МО «Ахтубинский район», МКОУ «Батаевская ООШ МО «Ахтубинский район», МКОУ «Ново-Николаевская СОШ МО «Ахтубинский район», МКОУ «Пологозаймищенская ООШ МО «Ахтубинский район», МКОУ «Удаченская ООШ МО «Ахтубинский район», МКОУ «Сокрутовская ООШ МО «Ахтубинский район», МКОУ «Покровская СОШ МО «Ахтубинский район», МКОУ «Садовская ООШ МО «Ахтубинский район», МКОУ «Успенская ООШ МО «Ахтубинский район», МКОУ «Нижнебаскунчакская СОШ МО «Ахтубинский район» имени К.К.Искалиева», МКДОУ «Детский сад №1 МО «Ахтубинский район», МКДОУ «Детский сад №2 МО «Ахтубинский район», МКДОУ «Детский сад №3 МО «Ахтубинский район», МКДОУ «Детский сад №4 МО «Ахтубинский район», МКДОУ «Детский сад №5 МО «Ахтубинский район», МКДОУ «Детский сад №6 МО «Ахтубинский район», МКДОУ «Детский сад №8 МО «Ахтубинский район», МКДОУ «Детский сад №11 МО «Ахтубинский район», МКДОУ «Детский сад №13 МО «Ахтубинский район», МКДОУ «Детский сад №15 МО «Ахтубинский район», МКДОУ «Детский сад №16 МО «Ахтубинский район», МКДОУ «Детский сад №17 МО «Ахтубинский район», МКДОУ «Детский сад №19 п.Верхний Баскунчак МО «Ахтубинский район», МКДОУ «Детский сад №21 П. В.Баскунчак МО «Ахтубинский район», МКДОУ «Детский сад, П. Н.Баскунчак МО «Ахтубинский район», МКУДО «ДЮСШ», МКУ «Центр социальной поддержки семьи и молодежи», МКУ ЦБУО администрации МО «Ахтубинский район».</w:t>
      </w:r>
    </w:p>
    <w:p w14:paraId="22A4B594">
      <w:pPr>
        <w:widowControl w:val="0"/>
        <w:autoSpaceDE w:val="0"/>
        <w:autoSpaceDN w:val="0"/>
        <w:adjustRightInd w:val="0"/>
        <w:spacing w:after="0" w:line="240" w:lineRule="auto"/>
        <w:jc w:val="both"/>
        <w:rPr>
          <w:rFonts w:ascii="Times New Roman" w:hAnsi="Times New Roman" w:eastAsia="Times New Roman" w:cs="Times New Roman"/>
          <w:sz w:val="12"/>
          <w:szCs w:val="12"/>
          <w:lang w:eastAsia="ru-RU"/>
        </w:rPr>
      </w:pPr>
    </w:p>
    <w:p w14:paraId="43181327">
      <w:pPr>
        <w:widowControl w:val="0"/>
        <w:suppressAutoHyphens/>
        <w:overflowPunct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sz w:val="24"/>
          <w:szCs w:val="24"/>
          <w:lang w:eastAsia="ru-RU"/>
        </w:rPr>
        <w:t xml:space="preserve">Управлению образования </w:t>
      </w:r>
      <w:r>
        <w:rPr>
          <w:rFonts w:ascii="Times New Roman" w:hAnsi="Times New Roman" w:eastAsia="Times New Roman" w:cs="Times New Roman"/>
          <w:sz w:val="24"/>
          <w:szCs w:val="24"/>
          <w:lang w:eastAsia="ru-RU"/>
        </w:rPr>
        <w:t xml:space="preserve">открыты лицевые счета в </w:t>
      </w:r>
      <w:r>
        <w:rPr>
          <w:rFonts w:ascii="Times New Roman" w:hAnsi="Times New Roman" w:eastAsia="Times New Roman"/>
          <w:sz w:val="24"/>
          <w:szCs w:val="24"/>
          <w:lang w:eastAsia="ru-RU"/>
        </w:rPr>
        <w:t>Территориальном отделе №9 Управления Федерального казначейства по Астраханской области</w:t>
      </w:r>
      <w:r>
        <w:rPr>
          <w:rFonts w:ascii="Times New Roman" w:hAnsi="Times New Roman" w:eastAsia="Times New Roman" w:cs="Times New Roman"/>
          <w:sz w:val="24"/>
          <w:szCs w:val="24"/>
          <w:lang w:eastAsia="ru-RU"/>
        </w:rPr>
        <w:t>, действующие в проверяемом периоде и на момент проверки:</w:t>
      </w:r>
    </w:p>
    <w:p w14:paraId="73B99139">
      <w:pPr>
        <w:widowControl w:val="0"/>
        <w:suppressAutoHyphens/>
        <w:overflowPunct w:val="0"/>
        <w:spacing w:after="0" w:line="240" w:lineRule="auto"/>
        <w:ind w:firstLine="709"/>
        <w:jc w:val="right"/>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Таблица</w:t>
      </w:r>
      <w:r>
        <w:rPr>
          <w:rFonts w:ascii="Times New Roman" w:hAnsi="Times New Roman" w:eastAsia="Times New Roman" w:cs="Times New Roman"/>
          <w:sz w:val="24"/>
          <w:szCs w:val="24"/>
          <w:lang w:val="en-US" w:eastAsia="ru-RU"/>
        </w:rPr>
        <w:t xml:space="preserve"> №1</w:t>
      </w:r>
    </w:p>
    <w:tbl>
      <w:tblPr>
        <w:tblStyle w:val="4"/>
        <w:tblW w:w="10350" w:type="dxa"/>
        <w:tblInd w:w="108" w:type="dxa"/>
        <w:tblLayout w:type="fixed"/>
        <w:tblCellMar>
          <w:top w:w="0" w:type="dxa"/>
          <w:left w:w="108" w:type="dxa"/>
          <w:bottom w:w="0" w:type="dxa"/>
          <w:right w:w="108" w:type="dxa"/>
        </w:tblCellMar>
      </w:tblPr>
      <w:tblGrid>
        <w:gridCol w:w="516"/>
        <w:gridCol w:w="2492"/>
        <w:gridCol w:w="7342"/>
      </w:tblGrid>
      <w:tr w14:paraId="127152DB">
        <w:tblPrEx>
          <w:tblCellMar>
            <w:top w:w="0" w:type="dxa"/>
            <w:left w:w="108" w:type="dxa"/>
            <w:bottom w:w="0" w:type="dxa"/>
            <w:right w:w="108" w:type="dxa"/>
          </w:tblCellMar>
        </w:tblPrEx>
        <w:trPr>
          <w:cantSplit/>
        </w:trPr>
        <w:tc>
          <w:tcPr>
            <w:tcW w:w="516" w:type="dxa"/>
            <w:tcBorders>
              <w:top w:val="single" w:color="000000" w:sz="4" w:space="0"/>
              <w:left w:val="single" w:color="000000" w:sz="4" w:space="0"/>
              <w:bottom w:val="single" w:color="000000" w:sz="4" w:space="0"/>
              <w:right w:val="nil"/>
            </w:tcBorders>
            <w:vAlign w:val="center"/>
          </w:tcPr>
          <w:p w14:paraId="61799E00">
            <w:pPr>
              <w:suppressAutoHyphens/>
              <w:spacing w:after="0" w:line="240" w:lineRule="auto"/>
              <w:jc w:val="both"/>
              <w:rPr>
                <w:rFonts w:ascii="Times New Roman" w:hAnsi="Times New Roman" w:eastAsia="Times New Roman" w:cs="Times New Roman"/>
                <w:bCs/>
                <w:lang w:eastAsia="ru-RU"/>
              </w:rPr>
            </w:pPr>
            <w:r>
              <w:rPr>
                <w:rFonts w:ascii="Times New Roman" w:hAnsi="Times New Roman" w:eastAsia="Times New Roman" w:cs="Times New Roman"/>
                <w:bCs/>
                <w:lang w:eastAsia="ru-RU"/>
              </w:rPr>
              <w:t>№</w:t>
            </w:r>
          </w:p>
          <w:p w14:paraId="1C182B99">
            <w:pPr>
              <w:suppressAutoHyphens/>
              <w:spacing w:after="0" w:line="240" w:lineRule="auto"/>
              <w:jc w:val="center"/>
              <w:rPr>
                <w:rFonts w:ascii="Times New Roman" w:hAnsi="Times New Roman" w:eastAsia="Times New Roman" w:cs="Times New Roman"/>
                <w:bCs/>
                <w:lang w:eastAsia="ru-RU"/>
              </w:rPr>
            </w:pPr>
            <w:r>
              <w:rPr>
                <w:rFonts w:ascii="Times New Roman" w:hAnsi="Times New Roman" w:eastAsia="Times New Roman" w:cs="Times New Roman"/>
                <w:bCs/>
                <w:lang w:eastAsia="ru-RU"/>
              </w:rPr>
              <w:t>п/п</w:t>
            </w:r>
          </w:p>
        </w:tc>
        <w:tc>
          <w:tcPr>
            <w:tcW w:w="2492" w:type="dxa"/>
            <w:tcBorders>
              <w:top w:val="single" w:color="000000" w:sz="4" w:space="0"/>
              <w:left w:val="single" w:color="000000" w:sz="4" w:space="0"/>
              <w:bottom w:val="single" w:color="000000" w:sz="4" w:space="0"/>
              <w:right w:val="nil"/>
            </w:tcBorders>
            <w:vAlign w:val="center"/>
          </w:tcPr>
          <w:p w14:paraId="71DDD274">
            <w:pPr>
              <w:suppressAutoHyphens/>
              <w:spacing w:after="0" w:line="240" w:lineRule="auto"/>
              <w:jc w:val="center"/>
              <w:rPr>
                <w:rFonts w:ascii="Times New Roman" w:hAnsi="Times New Roman" w:eastAsia="Times New Roman" w:cs="Times New Roman"/>
                <w:bCs/>
                <w:lang w:eastAsia="ru-RU"/>
              </w:rPr>
            </w:pPr>
            <w:r>
              <w:rPr>
                <w:rFonts w:ascii="Times New Roman" w:hAnsi="Times New Roman" w:eastAsia="Times New Roman" w:cs="Times New Roman"/>
                <w:bCs/>
                <w:lang w:eastAsia="ru-RU"/>
              </w:rPr>
              <w:t>Номер лицевого счета</w:t>
            </w:r>
          </w:p>
        </w:tc>
        <w:tc>
          <w:tcPr>
            <w:tcW w:w="7342" w:type="dxa"/>
            <w:tcBorders>
              <w:top w:val="single" w:color="000000" w:sz="4" w:space="0"/>
              <w:left w:val="single" w:color="000000" w:sz="4" w:space="0"/>
              <w:bottom w:val="single" w:color="000000" w:sz="4" w:space="0"/>
              <w:right w:val="single" w:color="000000" w:sz="4" w:space="0"/>
            </w:tcBorders>
            <w:vAlign w:val="center"/>
          </w:tcPr>
          <w:p w14:paraId="03BC3F47">
            <w:pPr>
              <w:suppressAutoHyphens/>
              <w:spacing w:after="0" w:line="240" w:lineRule="auto"/>
              <w:jc w:val="center"/>
              <w:rPr>
                <w:rFonts w:ascii="Times New Roman" w:hAnsi="Times New Roman" w:eastAsia="Times New Roman" w:cs="Times New Roman"/>
                <w:bCs/>
                <w:lang w:eastAsia="ru-RU"/>
              </w:rPr>
            </w:pPr>
            <w:r>
              <w:rPr>
                <w:rFonts w:ascii="Times New Roman" w:hAnsi="Times New Roman" w:eastAsia="Times New Roman" w:cs="Times New Roman"/>
                <w:bCs/>
                <w:lang w:eastAsia="ru-RU"/>
              </w:rPr>
              <w:t>Назначение счета</w:t>
            </w:r>
          </w:p>
        </w:tc>
      </w:tr>
      <w:tr w14:paraId="08AFF068">
        <w:tblPrEx>
          <w:tblCellMar>
            <w:top w:w="0" w:type="dxa"/>
            <w:left w:w="108" w:type="dxa"/>
            <w:bottom w:w="0" w:type="dxa"/>
            <w:right w:w="108" w:type="dxa"/>
          </w:tblCellMar>
        </w:tblPrEx>
        <w:trPr>
          <w:cantSplit/>
        </w:trPr>
        <w:tc>
          <w:tcPr>
            <w:tcW w:w="516" w:type="dxa"/>
            <w:tcBorders>
              <w:top w:val="single" w:color="000000" w:sz="4" w:space="0"/>
              <w:left w:val="single" w:color="000000" w:sz="4" w:space="0"/>
              <w:bottom w:val="single" w:color="000000" w:sz="4" w:space="0"/>
              <w:right w:val="nil"/>
            </w:tcBorders>
            <w:vAlign w:val="center"/>
          </w:tcPr>
          <w:p w14:paraId="4CBBB362">
            <w:pPr>
              <w:suppressAutoHyphens/>
              <w:spacing w:after="0" w:line="240" w:lineRule="auto"/>
              <w:jc w:val="center"/>
              <w:rPr>
                <w:rFonts w:ascii="Times New Roman" w:hAnsi="Times New Roman" w:eastAsia="Times New Roman" w:cs="Times New Roman"/>
                <w:bCs/>
                <w:lang w:eastAsia="ru-RU"/>
              </w:rPr>
            </w:pPr>
            <w:r>
              <w:rPr>
                <w:rFonts w:ascii="Times New Roman" w:hAnsi="Times New Roman" w:eastAsia="Times New Roman" w:cs="Times New Roman"/>
                <w:bCs/>
                <w:lang w:val="en-US" w:eastAsia="ru-RU"/>
              </w:rPr>
              <w:t>1</w:t>
            </w:r>
            <w:r>
              <w:rPr>
                <w:rFonts w:ascii="Times New Roman" w:hAnsi="Times New Roman" w:eastAsia="Times New Roman" w:cs="Times New Roman"/>
                <w:bCs/>
                <w:lang w:eastAsia="ru-RU"/>
              </w:rPr>
              <w:t>.</w:t>
            </w:r>
          </w:p>
        </w:tc>
        <w:tc>
          <w:tcPr>
            <w:tcW w:w="2492" w:type="dxa"/>
            <w:tcBorders>
              <w:top w:val="single" w:color="000000" w:sz="4" w:space="0"/>
              <w:left w:val="single" w:color="000000" w:sz="4" w:space="0"/>
              <w:bottom w:val="single" w:color="000000" w:sz="4" w:space="0"/>
              <w:right w:val="nil"/>
            </w:tcBorders>
            <w:vAlign w:val="center"/>
          </w:tcPr>
          <w:p w14:paraId="52523268">
            <w:pPr>
              <w:suppressAutoHyphens/>
              <w:spacing w:after="0" w:line="240" w:lineRule="auto"/>
              <w:jc w:val="center"/>
              <w:rPr>
                <w:rFonts w:ascii="Times New Roman" w:hAnsi="Times New Roman" w:eastAsia="Times New Roman" w:cs="Times New Roman"/>
                <w:bCs/>
                <w:lang w:eastAsia="ru-RU"/>
              </w:rPr>
            </w:pPr>
            <w:r>
              <w:rPr>
                <w:rFonts w:ascii="Times New Roman" w:hAnsi="Times New Roman" w:eastAsia="Times New Roman" w:cs="Times New Roman"/>
                <w:bCs/>
                <w:lang w:val="en-US" w:eastAsia="ru-RU"/>
              </w:rPr>
              <w:t>01253</w:t>
            </w:r>
            <w:r>
              <w:rPr>
                <w:rFonts w:ascii="Times New Roman" w:hAnsi="Times New Roman" w:eastAsia="Calibri" w:cs="Times New Roman"/>
                <w:bCs/>
                <w:lang w:val="en-US"/>
              </w:rPr>
              <w:t>D</w:t>
            </w:r>
            <w:r>
              <w:rPr>
                <w:rFonts w:ascii="Times New Roman" w:hAnsi="Times New Roman" w:eastAsia="Calibri" w:cs="Times New Roman"/>
                <w:bCs/>
              </w:rPr>
              <w:t>03990</w:t>
            </w:r>
          </w:p>
        </w:tc>
        <w:tc>
          <w:tcPr>
            <w:tcW w:w="7342" w:type="dxa"/>
            <w:tcBorders>
              <w:top w:val="single" w:color="000000" w:sz="4" w:space="0"/>
              <w:left w:val="single" w:color="000000" w:sz="4" w:space="0"/>
              <w:bottom w:val="single" w:color="000000" w:sz="4" w:space="0"/>
              <w:right w:val="single" w:color="000000" w:sz="4" w:space="0"/>
            </w:tcBorders>
            <w:vAlign w:val="center"/>
          </w:tcPr>
          <w:p w14:paraId="2F4B0866">
            <w:pPr>
              <w:suppressAutoHyphens/>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Лицевой счёт ГРБС</w:t>
            </w:r>
          </w:p>
        </w:tc>
      </w:tr>
      <w:tr w14:paraId="4521C818">
        <w:tblPrEx>
          <w:tblCellMar>
            <w:top w:w="0" w:type="dxa"/>
            <w:left w:w="108" w:type="dxa"/>
            <w:bottom w:w="0" w:type="dxa"/>
            <w:right w:w="108" w:type="dxa"/>
          </w:tblCellMar>
        </w:tblPrEx>
        <w:trPr>
          <w:cantSplit/>
        </w:trPr>
        <w:tc>
          <w:tcPr>
            <w:tcW w:w="516" w:type="dxa"/>
            <w:tcBorders>
              <w:top w:val="single" w:color="000000" w:sz="4" w:space="0"/>
              <w:left w:val="single" w:color="000000" w:sz="4" w:space="0"/>
              <w:bottom w:val="single" w:color="000000" w:sz="4" w:space="0"/>
              <w:right w:val="nil"/>
            </w:tcBorders>
            <w:vAlign w:val="center"/>
          </w:tcPr>
          <w:p w14:paraId="1BE939A3">
            <w:pPr>
              <w:suppressAutoHyphens/>
              <w:spacing w:after="0" w:line="240" w:lineRule="auto"/>
              <w:jc w:val="center"/>
              <w:rPr>
                <w:rFonts w:ascii="Times New Roman" w:hAnsi="Times New Roman" w:eastAsia="Times New Roman" w:cs="Times New Roman"/>
                <w:bCs/>
                <w:lang w:eastAsia="ru-RU"/>
              </w:rPr>
            </w:pPr>
            <w:r>
              <w:rPr>
                <w:rFonts w:ascii="Times New Roman" w:hAnsi="Times New Roman" w:eastAsia="Times New Roman" w:cs="Times New Roman"/>
                <w:bCs/>
                <w:lang w:val="en-US" w:eastAsia="ru-RU"/>
              </w:rPr>
              <w:t>2</w:t>
            </w:r>
            <w:r>
              <w:rPr>
                <w:rFonts w:ascii="Times New Roman" w:hAnsi="Times New Roman" w:eastAsia="Times New Roman" w:cs="Times New Roman"/>
                <w:bCs/>
                <w:lang w:eastAsia="ru-RU"/>
              </w:rPr>
              <w:t>.</w:t>
            </w:r>
          </w:p>
        </w:tc>
        <w:tc>
          <w:tcPr>
            <w:tcW w:w="2492" w:type="dxa"/>
            <w:tcBorders>
              <w:top w:val="single" w:color="000000" w:sz="4" w:space="0"/>
              <w:left w:val="single" w:color="000000" w:sz="4" w:space="0"/>
              <w:bottom w:val="single" w:color="000000" w:sz="4" w:space="0"/>
              <w:right w:val="nil"/>
            </w:tcBorders>
            <w:vAlign w:val="center"/>
          </w:tcPr>
          <w:p w14:paraId="2AB2A636">
            <w:pPr>
              <w:suppressAutoHyphens/>
              <w:spacing w:after="0" w:line="240" w:lineRule="auto"/>
              <w:jc w:val="center"/>
              <w:rPr>
                <w:rFonts w:ascii="Times New Roman" w:hAnsi="Times New Roman" w:eastAsia="Times New Roman" w:cs="Times New Roman"/>
                <w:bCs/>
                <w:lang w:val="en-US" w:eastAsia="ru-RU"/>
              </w:rPr>
            </w:pPr>
            <w:r>
              <w:rPr>
                <w:rFonts w:ascii="Times New Roman" w:hAnsi="Times New Roman" w:eastAsia="Times New Roman" w:cs="Times New Roman"/>
                <w:bCs/>
                <w:lang w:val="en-US" w:eastAsia="ru-RU"/>
              </w:rPr>
              <w:t>03253D03990</w:t>
            </w:r>
          </w:p>
        </w:tc>
        <w:tc>
          <w:tcPr>
            <w:tcW w:w="7342" w:type="dxa"/>
            <w:tcBorders>
              <w:top w:val="single" w:color="000000" w:sz="4" w:space="0"/>
              <w:left w:val="single" w:color="000000" w:sz="4" w:space="0"/>
              <w:bottom w:val="single" w:color="000000" w:sz="4" w:space="0"/>
              <w:right w:val="single" w:color="000000" w:sz="4" w:space="0"/>
            </w:tcBorders>
            <w:vAlign w:val="center"/>
          </w:tcPr>
          <w:p w14:paraId="76CEDE11">
            <w:pPr>
              <w:suppressAutoHyphens/>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Лицевой счёт ПБС</w:t>
            </w:r>
          </w:p>
        </w:tc>
      </w:tr>
      <w:tr w14:paraId="45E9EACD">
        <w:tblPrEx>
          <w:tblCellMar>
            <w:top w:w="0" w:type="dxa"/>
            <w:left w:w="108" w:type="dxa"/>
            <w:bottom w:w="0" w:type="dxa"/>
            <w:right w:w="108" w:type="dxa"/>
          </w:tblCellMar>
        </w:tblPrEx>
        <w:trPr>
          <w:cantSplit/>
        </w:trPr>
        <w:tc>
          <w:tcPr>
            <w:tcW w:w="516" w:type="dxa"/>
            <w:tcBorders>
              <w:top w:val="single" w:color="000000" w:sz="4" w:space="0"/>
              <w:left w:val="single" w:color="000000" w:sz="4" w:space="0"/>
              <w:bottom w:val="single" w:color="000000" w:sz="4" w:space="0"/>
              <w:right w:val="nil"/>
            </w:tcBorders>
            <w:vAlign w:val="center"/>
          </w:tcPr>
          <w:p w14:paraId="7D53A840">
            <w:pPr>
              <w:suppressAutoHyphens/>
              <w:spacing w:after="0" w:line="240" w:lineRule="auto"/>
              <w:jc w:val="center"/>
              <w:rPr>
                <w:rFonts w:ascii="Times New Roman" w:hAnsi="Times New Roman" w:eastAsia="Times New Roman" w:cs="Times New Roman"/>
                <w:bCs/>
                <w:lang w:val="en-US" w:eastAsia="ru-RU"/>
              </w:rPr>
            </w:pPr>
            <w:r>
              <w:rPr>
                <w:rFonts w:ascii="Times New Roman" w:hAnsi="Times New Roman" w:eastAsia="Times New Roman" w:cs="Times New Roman"/>
                <w:bCs/>
                <w:lang w:val="en-US" w:eastAsia="ru-RU"/>
              </w:rPr>
              <w:t>3.</w:t>
            </w:r>
          </w:p>
        </w:tc>
        <w:tc>
          <w:tcPr>
            <w:tcW w:w="2492" w:type="dxa"/>
            <w:tcBorders>
              <w:top w:val="single" w:color="000000" w:sz="4" w:space="0"/>
              <w:left w:val="single" w:color="000000" w:sz="4" w:space="0"/>
              <w:bottom w:val="single" w:color="000000" w:sz="4" w:space="0"/>
              <w:right w:val="nil"/>
            </w:tcBorders>
            <w:vAlign w:val="center"/>
          </w:tcPr>
          <w:p w14:paraId="5162901A">
            <w:pPr>
              <w:suppressAutoHyphens/>
              <w:spacing w:after="0" w:line="240" w:lineRule="auto"/>
              <w:jc w:val="center"/>
              <w:rPr>
                <w:rFonts w:ascii="Times New Roman" w:hAnsi="Times New Roman" w:eastAsia="Times New Roman" w:cs="Times New Roman"/>
                <w:bCs/>
                <w:lang w:val="en-US" w:eastAsia="ru-RU"/>
              </w:rPr>
            </w:pPr>
            <w:r>
              <w:rPr>
                <w:rFonts w:ascii="Times New Roman" w:hAnsi="Times New Roman" w:eastAsia="Times New Roman" w:cs="Times New Roman"/>
                <w:bCs/>
                <w:lang w:val="en-US" w:eastAsia="ru-RU"/>
              </w:rPr>
              <w:t>04253D03990</w:t>
            </w:r>
          </w:p>
        </w:tc>
        <w:tc>
          <w:tcPr>
            <w:tcW w:w="7342" w:type="dxa"/>
            <w:tcBorders>
              <w:top w:val="single" w:color="000000" w:sz="4" w:space="0"/>
              <w:left w:val="single" w:color="000000" w:sz="4" w:space="0"/>
              <w:bottom w:val="single" w:color="000000" w:sz="4" w:space="0"/>
              <w:right w:val="single" w:color="000000" w:sz="4" w:space="0"/>
            </w:tcBorders>
            <w:vAlign w:val="center"/>
          </w:tcPr>
          <w:p w14:paraId="35AFB094">
            <w:pPr>
              <w:suppressAutoHyphens/>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Лицевой счёт администратора доходов бюджета</w:t>
            </w:r>
          </w:p>
        </w:tc>
      </w:tr>
      <w:tr w14:paraId="453AE469">
        <w:tblPrEx>
          <w:tblCellMar>
            <w:top w:w="0" w:type="dxa"/>
            <w:left w:w="108" w:type="dxa"/>
            <w:bottom w:w="0" w:type="dxa"/>
            <w:right w:w="108" w:type="dxa"/>
          </w:tblCellMar>
        </w:tblPrEx>
        <w:trPr>
          <w:cantSplit/>
        </w:trPr>
        <w:tc>
          <w:tcPr>
            <w:tcW w:w="516" w:type="dxa"/>
            <w:tcBorders>
              <w:top w:val="single" w:color="000000" w:sz="4" w:space="0"/>
              <w:left w:val="single" w:color="000000" w:sz="4" w:space="0"/>
              <w:bottom w:val="single" w:color="000000" w:sz="4" w:space="0"/>
              <w:right w:val="nil"/>
            </w:tcBorders>
            <w:vAlign w:val="center"/>
          </w:tcPr>
          <w:p w14:paraId="7ED86E2A">
            <w:pPr>
              <w:suppressAutoHyphens/>
              <w:spacing w:after="0" w:line="240" w:lineRule="auto"/>
              <w:jc w:val="center"/>
              <w:rPr>
                <w:rFonts w:ascii="Times New Roman" w:hAnsi="Times New Roman" w:eastAsia="Times New Roman" w:cs="Times New Roman"/>
                <w:bCs/>
                <w:lang w:val="en-US" w:eastAsia="ru-RU"/>
              </w:rPr>
            </w:pPr>
            <w:r>
              <w:rPr>
                <w:rFonts w:ascii="Times New Roman" w:hAnsi="Times New Roman" w:eastAsia="Times New Roman" w:cs="Times New Roman"/>
                <w:bCs/>
                <w:lang w:val="en-US" w:eastAsia="ru-RU"/>
              </w:rPr>
              <w:t>4</w:t>
            </w:r>
          </w:p>
        </w:tc>
        <w:tc>
          <w:tcPr>
            <w:tcW w:w="2492" w:type="dxa"/>
            <w:tcBorders>
              <w:top w:val="single" w:color="000000" w:sz="4" w:space="0"/>
              <w:left w:val="single" w:color="000000" w:sz="4" w:space="0"/>
              <w:bottom w:val="single" w:color="000000" w:sz="4" w:space="0"/>
              <w:right w:val="nil"/>
            </w:tcBorders>
            <w:vAlign w:val="center"/>
          </w:tcPr>
          <w:p w14:paraId="10C3FD99">
            <w:pPr>
              <w:suppressAutoHyphens/>
              <w:spacing w:after="0" w:line="240" w:lineRule="auto"/>
              <w:jc w:val="center"/>
              <w:rPr>
                <w:rFonts w:ascii="Times New Roman" w:hAnsi="Times New Roman" w:eastAsia="Times New Roman" w:cs="Times New Roman"/>
                <w:bCs/>
                <w:lang w:val="en-US" w:eastAsia="ru-RU"/>
              </w:rPr>
            </w:pPr>
            <w:r>
              <w:rPr>
                <w:rFonts w:ascii="Times New Roman" w:hAnsi="Times New Roman" w:eastAsia="Times New Roman" w:cs="Times New Roman"/>
                <w:bCs/>
                <w:lang w:val="en-US" w:eastAsia="ru-RU"/>
              </w:rPr>
              <w:t>05253D03990</w:t>
            </w:r>
          </w:p>
        </w:tc>
        <w:tc>
          <w:tcPr>
            <w:tcW w:w="7342" w:type="dxa"/>
            <w:tcBorders>
              <w:top w:val="single" w:color="000000" w:sz="4" w:space="0"/>
              <w:left w:val="single" w:color="000000" w:sz="4" w:space="0"/>
              <w:bottom w:val="single" w:color="000000" w:sz="4" w:space="0"/>
              <w:right w:val="single" w:color="000000" w:sz="4" w:space="0"/>
            </w:tcBorders>
            <w:vAlign w:val="center"/>
          </w:tcPr>
          <w:p w14:paraId="175F7108">
            <w:pPr>
              <w:suppressAutoHyphens/>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Лицевой счёт для учёта операций со средствами, поступающими во временное распоряжение получателя бюджетных средств</w:t>
            </w:r>
          </w:p>
        </w:tc>
      </w:tr>
    </w:tbl>
    <w:p w14:paraId="415124C1">
      <w:pPr>
        <w:widowControl w:val="0"/>
        <w:suppressAutoHyphens/>
        <w:overflowPunct w:val="0"/>
        <w:spacing w:before="120"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Ответственными должностными лицами за финансово - хозяйственную деятельность Управления образования в проверяемом периоде являлись с правом:</w:t>
      </w:r>
    </w:p>
    <w:p w14:paraId="4CDED161">
      <w:pPr>
        <w:pStyle w:val="11"/>
        <w:spacing w:before="0" w:beforeAutospacing="0" w:after="0" w:afterAutospacing="0"/>
        <w:jc w:val="both"/>
        <w:rPr>
          <w:i/>
          <w:iCs/>
        </w:rPr>
      </w:pPr>
      <w:r>
        <w:rPr>
          <w:i/>
          <w:iCs/>
        </w:rPr>
        <w:t>первой подписи:</w:t>
      </w:r>
    </w:p>
    <w:p w14:paraId="04C19F3E">
      <w:pPr>
        <w:pStyle w:val="11"/>
        <w:spacing w:before="0" w:beforeAutospacing="0" w:after="0" w:afterAutospacing="0"/>
        <w:jc w:val="both"/>
      </w:pPr>
      <w:r>
        <w:t xml:space="preserve">- Начальник управления </w:t>
      </w:r>
      <w:r>
        <w:rPr>
          <w:lang w:val="ru-RU"/>
        </w:rPr>
        <w:t>образования</w:t>
      </w:r>
      <w:r>
        <w:t xml:space="preserve"> администрации муниципального образования «Ахтубинский муниципальный район Астраханской области» - Минько Оксана Александровна, назначена на должность с 12.01.2024г. по 28.06.2024г. (распоряжение администрации МО «Ахтубинский район» от 12.01.2024г. №3л/с, от 28.06.2024г. №153 л/с);</w:t>
      </w:r>
    </w:p>
    <w:p w14:paraId="00EB2BE5">
      <w:pPr>
        <w:pStyle w:val="11"/>
        <w:spacing w:before="0" w:beforeAutospacing="0" w:after="0" w:afterAutospacing="0"/>
        <w:jc w:val="both"/>
      </w:pPr>
      <w:r>
        <w:t xml:space="preserve">- Начальник управления </w:t>
      </w:r>
      <w:r>
        <w:rPr>
          <w:lang w:val="ru-RU"/>
        </w:rPr>
        <w:t>образования</w:t>
      </w:r>
      <w:r>
        <w:t xml:space="preserve"> - Гринько Юрий Михайлович, назначен на должность с 01.11.2024г. по настоящее время (распоряжение администрации МО «Ахтубинский район» от 01.11.2024г. №225 л/с);</w:t>
      </w:r>
    </w:p>
    <w:p w14:paraId="328AA274">
      <w:pPr>
        <w:pStyle w:val="11"/>
        <w:spacing w:before="0" w:beforeAutospacing="0" w:afterAutospacing="0"/>
        <w:jc w:val="both"/>
      </w:pPr>
      <w:r>
        <w:t xml:space="preserve">- Начальник отдела управления </w:t>
      </w:r>
      <w:r>
        <w:rPr>
          <w:lang w:val="ru-RU"/>
        </w:rPr>
        <w:t>образования</w:t>
      </w:r>
      <w:r>
        <w:t xml:space="preserve"> - Лагерева Надежда Дмитриевна, назначена на должность 17.11.2009г. по настоящее время (приказ Управления образования от 13.02.2017г. №17-К); </w:t>
      </w:r>
    </w:p>
    <w:p w14:paraId="24AD5CB1">
      <w:pPr>
        <w:pStyle w:val="11"/>
        <w:spacing w:before="0" w:beforeAutospacing="0" w:afterAutospacing="0"/>
        <w:jc w:val="both"/>
        <w:rPr>
          <w:i/>
          <w:iCs/>
        </w:rPr>
      </w:pPr>
      <w:r>
        <w:rPr>
          <w:i/>
          <w:iCs/>
        </w:rPr>
        <w:t xml:space="preserve">второй подписи: отсутствует. </w:t>
      </w:r>
    </w:p>
    <w:p w14:paraId="4BF57F12">
      <w:pPr>
        <w:pStyle w:val="11"/>
        <w:spacing w:before="0" w:beforeAutospacing="0" w:after="0" w:afterAutospacing="0"/>
        <w:ind w:firstLine="567"/>
        <w:jc w:val="both"/>
      </w:pPr>
      <w:r>
        <w:t xml:space="preserve">Бухгалтерский учёт осуществляется МКУ «Централизованная бухгалтерия управления </w:t>
      </w:r>
      <w:r>
        <w:rPr>
          <w:lang w:val="ru-RU"/>
        </w:rPr>
        <w:t>образованием</w:t>
      </w:r>
      <w:r>
        <w:t xml:space="preserve"> администрации МО «Ахтубинский район»:</w:t>
      </w:r>
    </w:p>
    <w:p w14:paraId="116286AC">
      <w:pPr>
        <w:spacing w:after="0" w:line="240" w:lineRule="auto"/>
        <w:ind w:firstLine="567"/>
        <w:jc w:val="both"/>
        <w:rPr>
          <w:rFonts w:ascii="Times New Roman" w:hAnsi="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sz w:val="24"/>
          <w:szCs w:val="24"/>
          <w:lang w:eastAsia="ru-RU"/>
        </w:rPr>
        <w:t xml:space="preserve">Директор МКУ «Централизованная бухгалтерия </w:t>
      </w:r>
      <w:r>
        <w:rPr>
          <w:rFonts w:ascii="Times New Roman" w:hAnsi="Times New Roman" w:cs="Times New Roman"/>
          <w:color w:val="000000" w:themeColor="text1"/>
          <w:sz w:val="24"/>
          <w:szCs w:val="24"/>
          <w14:textFill>
            <w14:solidFill>
              <w14:schemeClr w14:val="tx1"/>
            </w14:solidFill>
          </w14:textFill>
        </w:rPr>
        <w:t xml:space="preserve">Управления </w:t>
      </w:r>
      <w:r>
        <w:rPr>
          <w:rFonts w:ascii="Times New Roman" w:hAnsi="Times New Roman" w:cs="Times New Roman"/>
          <w:color w:val="000000" w:themeColor="text1"/>
          <w:sz w:val="24"/>
          <w:szCs w:val="24"/>
          <w:lang w:val="ru-RU"/>
          <w14:textFill>
            <w14:solidFill>
              <w14:schemeClr w14:val="tx1"/>
            </w14:solidFill>
          </w14:textFill>
        </w:rPr>
        <w:t>образованием</w:t>
      </w:r>
      <w:r>
        <w:rPr>
          <w:rFonts w:ascii="Times New Roman" w:hAnsi="Times New Roman" w:cs="Times New Roman"/>
          <w:color w:val="000000" w:themeColor="text1"/>
          <w:sz w:val="24"/>
          <w:szCs w:val="24"/>
          <w14:textFill>
            <w14:solidFill>
              <w14:schemeClr w14:val="tx1"/>
            </w14:solidFill>
          </w14:textFill>
        </w:rPr>
        <w:t xml:space="preserve"> администрации МО «Ахтубинский район» - Прилуцкаяг.К. (приказ Управления образования от 02.12.2011 №583-К).</w:t>
      </w:r>
    </w:p>
    <w:p w14:paraId="4CB88C84">
      <w:pPr>
        <w:spacing w:after="72" w:afterLines="3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Главный бухгалтер МКУ «Централизованная бухгалтерия управления образованием администрации МО «Ахтубинский район» – Каменева Ирина Николаевна (приказ МКУ «Централизованная бухгалтерия </w:t>
      </w:r>
      <w:r>
        <w:rPr>
          <w:rFonts w:ascii="Times New Roman" w:hAnsi="Times New Roman" w:cs="Times New Roman"/>
          <w:color w:val="000000" w:themeColor="text1"/>
          <w:sz w:val="24"/>
          <w:szCs w:val="24"/>
          <w14:textFill>
            <w14:solidFill>
              <w14:schemeClr w14:val="tx1"/>
            </w14:solidFill>
          </w14:textFill>
        </w:rPr>
        <w:t xml:space="preserve">Управления </w:t>
      </w:r>
      <w:r>
        <w:rPr>
          <w:rFonts w:ascii="Times New Roman" w:hAnsi="Times New Roman" w:cs="Times New Roman"/>
          <w:color w:val="000000" w:themeColor="text1"/>
          <w:sz w:val="24"/>
          <w:szCs w:val="24"/>
          <w:lang w:val="ru-RU"/>
          <w14:textFill>
            <w14:solidFill>
              <w14:schemeClr w14:val="tx1"/>
            </w14:solidFill>
          </w14:textFill>
        </w:rPr>
        <w:t>образованием</w:t>
      </w:r>
      <w:r>
        <w:rPr>
          <w:rFonts w:ascii="Times New Roman" w:hAnsi="Times New Roman" w:cs="Times New Roman"/>
          <w:color w:val="000000" w:themeColor="text1"/>
          <w:sz w:val="24"/>
          <w:szCs w:val="24"/>
          <w14:textFill>
            <w14:solidFill>
              <w14:schemeClr w14:val="tx1"/>
            </w14:solidFill>
          </w14:textFill>
        </w:rPr>
        <w:t xml:space="preserve"> администрации МО «Ахтубинский район» от 05.11.2014г. №182-К).</w:t>
      </w:r>
    </w:p>
    <w:p w14:paraId="61E8B4D2">
      <w:pPr>
        <w:pStyle w:val="11"/>
        <w:spacing w:before="0" w:beforeAutospacing="0" w:after="0" w:afterAutospacing="0"/>
        <w:ind w:firstLine="567"/>
        <w:jc w:val="both"/>
        <w:rPr>
          <w:lang w:eastAsia="zh-CN"/>
        </w:rPr>
      </w:pPr>
      <w:r>
        <w:rPr>
          <w:lang w:eastAsia="zh-CN"/>
        </w:rPr>
        <w:t>В соответствии со ст. 264.4 БК РФ, п.3.3. Порядка от 16.03.2017 №295 для ГРБС установлен срок представления годовой отчетности не позднее 20 марта текущего финансового года.</w:t>
      </w:r>
    </w:p>
    <w:p w14:paraId="34A17446">
      <w:pPr>
        <w:widowControl w:val="0"/>
        <w:suppressAutoHyphens/>
        <w:overflowPunct w:val="0"/>
        <w:spacing w:after="72" w:afterLines="30" w:line="240" w:lineRule="auto"/>
        <w:ind w:firstLine="567"/>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Бюджетная отчетность за 2024 год направлена в адрес КСП МО «Ахтубинский район» в соответствии с установленным сроком (письмо от 20.03.2025г. исх. №868).</w:t>
      </w:r>
    </w:p>
    <w:p w14:paraId="2BD9B134">
      <w:pPr>
        <w:pStyle w:val="16"/>
        <w:numPr>
          <w:ilvl w:val="0"/>
          <w:numId w:val="2"/>
        </w:numPr>
        <w:tabs>
          <w:tab w:val="left" w:pos="567"/>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Предоставление годовой бюджетной отчетности</w:t>
      </w:r>
    </w:p>
    <w:p w14:paraId="2B18D440">
      <w:pPr>
        <w:widowControl w:val="0"/>
        <w:suppressAutoHyphens/>
        <w:overflowPunct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Проверка комплектности, соответствия и полноты информации бюджетной отчетности проведена в соответствии с требованиями Инструкции №191н. </w:t>
      </w:r>
    </w:p>
    <w:p w14:paraId="6404F2D6">
      <w:pPr>
        <w:pStyle w:val="16"/>
        <w:tabs>
          <w:tab w:val="left" w:pos="567"/>
        </w:tabs>
        <w:spacing w:after="0" w:line="240" w:lineRule="auto"/>
        <w:ind w:left="0" w:firstLine="567"/>
        <w:jc w:val="both"/>
        <w:rPr>
          <w:rFonts w:ascii="Times New Roman" w:hAnsi="Times New Roman" w:cs="Times New Roman"/>
          <w:sz w:val="24"/>
          <w:szCs w:val="24"/>
        </w:rPr>
      </w:pPr>
      <w:r>
        <w:rPr>
          <w:rFonts w:ascii="Times New Roman" w:hAnsi="Times New Roman"/>
          <w:sz w:val="24"/>
          <w:szCs w:val="24"/>
        </w:rPr>
        <w:t>В соответствии с п.11.1, п.59.1, п.70.1 Инструкции №191н представлена следующая бюджетная отчетность</w:t>
      </w:r>
      <w:r>
        <w:rPr>
          <w:rFonts w:ascii="Times New Roman" w:hAnsi="Times New Roman" w:cs="Times New Roman"/>
          <w:sz w:val="24"/>
          <w:szCs w:val="24"/>
        </w:rPr>
        <w:t>:</w:t>
      </w:r>
    </w:p>
    <w:p w14:paraId="64C4B219">
      <w:pPr>
        <w:pStyle w:val="16"/>
        <w:tabs>
          <w:tab w:val="left" w:pos="567"/>
        </w:tabs>
        <w:spacing w:after="0" w:line="240" w:lineRule="auto"/>
        <w:ind w:left="0" w:firstLine="709"/>
        <w:jc w:val="right"/>
        <w:rPr>
          <w:rFonts w:ascii="Times New Roman" w:hAnsi="Times New Roman" w:cs="Times New Roman"/>
          <w:sz w:val="24"/>
          <w:szCs w:val="24"/>
        </w:rPr>
      </w:pPr>
      <w:r>
        <w:rPr>
          <w:rFonts w:ascii="Times New Roman" w:hAnsi="Times New Roman" w:cs="Times New Roman"/>
          <w:sz w:val="24"/>
          <w:szCs w:val="24"/>
        </w:rPr>
        <w:t>Таблица №2</w:t>
      </w:r>
    </w:p>
    <w:tbl>
      <w:tblPr>
        <w:tblStyle w:val="13"/>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7311"/>
        <w:gridCol w:w="2532"/>
      </w:tblGrid>
      <w:tr w14:paraId="7B83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60A7F4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311" w:type="dxa"/>
            <w:vAlign w:val="center"/>
          </w:tcPr>
          <w:p w14:paraId="79FCBE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2532" w:type="dxa"/>
            <w:vAlign w:val="center"/>
          </w:tcPr>
          <w:p w14:paraId="704CFC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Форма</w:t>
            </w:r>
          </w:p>
        </w:tc>
      </w:tr>
      <w:tr w14:paraId="09EB4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536C17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311" w:type="dxa"/>
            <w:vAlign w:val="center"/>
          </w:tcPr>
          <w:p w14:paraId="077F6C26">
            <w:pPr>
              <w:spacing w:after="0" w:line="240" w:lineRule="auto"/>
              <w:rPr>
                <w:rFonts w:ascii="Times New Roman" w:hAnsi="Times New Roman" w:cs="Times New Roman"/>
                <w:sz w:val="24"/>
                <w:szCs w:val="24"/>
              </w:rPr>
            </w:pPr>
            <w:r>
              <w:rPr>
                <w:rFonts w:ascii="Times New Roman" w:hAnsi="Times New Roman" w:cs="Times New Roman"/>
                <w:sz w:val="24"/>
                <w:szCs w:val="24"/>
              </w:rPr>
              <w:t>Баланс</w:t>
            </w:r>
          </w:p>
        </w:tc>
        <w:tc>
          <w:tcPr>
            <w:tcW w:w="2532" w:type="dxa"/>
            <w:vAlign w:val="center"/>
          </w:tcPr>
          <w:p w14:paraId="76928E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ф.0503130</w:t>
            </w:r>
          </w:p>
        </w:tc>
      </w:tr>
      <w:tr w14:paraId="78D2C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5" w:type="dxa"/>
            <w:vAlign w:val="center"/>
          </w:tcPr>
          <w:p w14:paraId="611C88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311" w:type="dxa"/>
            <w:vAlign w:val="center"/>
          </w:tcPr>
          <w:p w14:paraId="0BB4DF3F">
            <w:pPr>
              <w:spacing w:after="0" w:line="240" w:lineRule="auto"/>
              <w:rPr>
                <w:rFonts w:ascii="Times New Roman" w:hAnsi="Times New Roman" w:cs="Times New Roman"/>
                <w:sz w:val="24"/>
                <w:szCs w:val="24"/>
              </w:rPr>
            </w:pPr>
            <w:r>
              <w:rPr>
                <w:rFonts w:ascii="Times New Roman" w:hAnsi="Times New Roman" w:cs="Times New Roman"/>
                <w:sz w:val="24"/>
                <w:szCs w:val="24"/>
              </w:rPr>
              <w:t>Справка по консолидируемым расчетам</w:t>
            </w:r>
          </w:p>
        </w:tc>
        <w:tc>
          <w:tcPr>
            <w:tcW w:w="2532" w:type="dxa"/>
            <w:vAlign w:val="center"/>
          </w:tcPr>
          <w:p w14:paraId="5C740C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ф.0503125</w:t>
            </w:r>
          </w:p>
        </w:tc>
      </w:tr>
      <w:tr w14:paraId="5204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2313D0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311" w:type="dxa"/>
            <w:vAlign w:val="center"/>
          </w:tcPr>
          <w:p w14:paraId="69D6E3E9">
            <w:pPr>
              <w:spacing w:after="0" w:line="240" w:lineRule="auto"/>
              <w:rPr>
                <w:rFonts w:ascii="Times New Roman" w:hAnsi="Times New Roman" w:cs="Times New Roman"/>
                <w:sz w:val="24"/>
                <w:szCs w:val="24"/>
              </w:rPr>
            </w:pPr>
            <w:r>
              <w:rPr>
                <w:rFonts w:ascii="Times New Roman" w:hAnsi="Times New Roman" w:cs="Times New Roman"/>
                <w:sz w:val="24"/>
                <w:szCs w:val="24"/>
              </w:rPr>
              <w:t>Справка по заключению счетов бюджетного учета отчетного финансового года</w:t>
            </w:r>
          </w:p>
        </w:tc>
        <w:tc>
          <w:tcPr>
            <w:tcW w:w="2532" w:type="dxa"/>
            <w:vAlign w:val="center"/>
          </w:tcPr>
          <w:p w14:paraId="1A3838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ф.0503110</w:t>
            </w:r>
          </w:p>
        </w:tc>
      </w:tr>
      <w:tr w14:paraId="6ED5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665" w:type="dxa"/>
            <w:vAlign w:val="center"/>
          </w:tcPr>
          <w:p w14:paraId="343267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311" w:type="dxa"/>
            <w:vAlign w:val="center"/>
          </w:tcPr>
          <w:p w14:paraId="31049C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p>
        </w:tc>
        <w:tc>
          <w:tcPr>
            <w:tcW w:w="2532" w:type="dxa"/>
            <w:vAlign w:val="center"/>
          </w:tcPr>
          <w:p w14:paraId="6A3B45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ф.0503127</w:t>
            </w:r>
          </w:p>
        </w:tc>
      </w:tr>
      <w:tr w14:paraId="11909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649E50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311" w:type="dxa"/>
            <w:vAlign w:val="center"/>
          </w:tcPr>
          <w:p w14:paraId="7685F5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Отчет о бюджетных обязательствах </w:t>
            </w:r>
          </w:p>
        </w:tc>
        <w:tc>
          <w:tcPr>
            <w:tcW w:w="2532" w:type="dxa"/>
            <w:vAlign w:val="center"/>
          </w:tcPr>
          <w:p w14:paraId="2DB0FD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ф.0503128</w:t>
            </w:r>
          </w:p>
        </w:tc>
      </w:tr>
      <w:tr w14:paraId="5E60E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56D90A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311" w:type="dxa"/>
            <w:vAlign w:val="center"/>
          </w:tcPr>
          <w:p w14:paraId="2490B006">
            <w:pPr>
              <w:spacing w:after="0" w:line="240" w:lineRule="auto"/>
              <w:rPr>
                <w:rFonts w:ascii="Times New Roman" w:hAnsi="Times New Roman" w:cs="Times New Roman"/>
                <w:sz w:val="24"/>
                <w:szCs w:val="24"/>
              </w:rPr>
            </w:pPr>
            <w:r>
              <w:rPr>
                <w:rFonts w:ascii="Times New Roman" w:hAnsi="Times New Roman" w:cs="Times New Roman"/>
                <w:sz w:val="24"/>
                <w:szCs w:val="24"/>
              </w:rPr>
              <w:t>Отчет о финансовых результатах деятельности</w:t>
            </w:r>
          </w:p>
        </w:tc>
        <w:tc>
          <w:tcPr>
            <w:tcW w:w="2532" w:type="dxa"/>
            <w:vAlign w:val="center"/>
          </w:tcPr>
          <w:p w14:paraId="117E40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ф.0503121</w:t>
            </w:r>
          </w:p>
        </w:tc>
      </w:tr>
      <w:tr w14:paraId="5306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3E4686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311" w:type="dxa"/>
            <w:vAlign w:val="center"/>
          </w:tcPr>
          <w:p w14:paraId="6FD77666">
            <w:pPr>
              <w:spacing w:after="0" w:line="240" w:lineRule="auto"/>
              <w:rPr>
                <w:rFonts w:ascii="Times New Roman" w:hAnsi="Times New Roman" w:cs="Times New Roman"/>
                <w:sz w:val="24"/>
                <w:szCs w:val="24"/>
              </w:rPr>
            </w:pPr>
            <w:r>
              <w:rPr>
                <w:rFonts w:ascii="Times New Roman" w:hAnsi="Times New Roman" w:cs="Times New Roman"/>
                <w:sz w:val="24"/>
                <w:szCs w:val="24"/>
              </w:rPr>
              <w:t>Отчет о движении денежных средств</w:t>
            </w:r>
          </w:p>
        </w:tc>
        <w:tc>
          <w:tcPr>
            <w:tcW w:w="2532" w:type="dxa"/>
            <w:vAlign w:val="center"/>
          </w:tcPr>
          <w:p w14:paraId="15538482">
            <w:pPr>
              <w:spacing w:after="0" w:line="240" w:lineRule="auto"/>
              <w:jc w:val="center"/>
              <w:rPr>
                <w:rFonts w:ascii="Times New Roman" w:hAnsi="Times New Roman" w:cs="Times New Roman"/>
                <w:sz w:val="24"/>
                <w:szCs w:val="24"/>
              </w:rPr>
            </w:pPr>
            <w:r>
              <w:fldChar w:fldCharType="begin"/>
            </w:r>
            <w:r>
              <w:instrText xml:space="preserve"> HYPERLINK "consultantplus://offline/ref=866B7735309E47EE23AA00AC4214A1F2B97FFF0A08BEA69DFC7B609C652D3BC02865D8F8467701640A393B50B260736D7AEDB1DFE2730F67W6o3F" </w:instrText>
            </w:r>
            <w:r>
              <w:fldChar w:fldCharType="separate"/>
            </w:r>
            <w:r>
              <w:rPr>
                <w:rFonts w:ascii="Times New Roman" w:hAnsi="Times New Roman" w:cs="Times New Roman"/>
                <w:sz w:val="24"/>
                <w:szCs w:val="24"/>
              </w:rPr>
              <w:t>ф.0503123</w:t>
            </w:r>
            <w:r>
              <w:rPr>
                <w:rFonts w:ascii="Times New Roman" w:hAnsi="Times New Roman" w:cs="Times New Roman"/>
                <w:sz w:val="24"/>
                <w:szCs w:val="24"/>
              </w:rPr>
              <w:fldChar w:fldCharType="end"/>
            </w:r>
          </w:p>
        </w:tc>
      </w:tr>
      <w:tr w14:paraId="1BE5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69A4CD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311" w:type="dxa"/>
            <w:vAlign w:val="center"/>
          </w:tcPr>
          <w:p w14:paraId="4B167DAF">
            <w:pPr>
              <w:spacing w:after="0" w:line="240" w:lineRule="auto"/>
              <w:rPr>
                <w:rFonts w:ascii="Times New Roman" w:hAnsi="Times New Roman" w:cs="Times New Roman"/>
                <w:sz w:val="24"/>
                <w:szCs w:val="24"/>
              </w:rPr>
            </w:pPr>
            <w:r>
              <w:rPr>
                <w:rFonts w:ascii="Times New Roman" w:hAnsi="Times New Roman" w:cs="Times New Roman"/>
                <w:sz w:val="24"/>
                <w:szCs w:val="24"/>
              </w:rPr>
              <w:t>Пояснительная записка</w:t>
            </w:r>
          </w:p>
        </w:tc>
        <w:tc>
          <w:tcPr>
            <w:tcW w:w="2532" w:type="dxa"/>
            <w:vAlign w:val="center"/>
          </w:tcPr>
          <w:p w14:paraId="3E778C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ф.0503160</w:t>
            </w:r>
          </w:p>
        </w:tc>
      </w:tr>
    </w:tbl>
    <w:p w14:paraId="7DBEBC30">
      <w:pPr>
        <w:widowControl w:val="0"/>
        <w:suppressAutoHyphens/>
        <w:overflowPunct w:val="0"/>
        <w:spacing w:before="120" w:after="0" w:line="240" w:lineRule="auto"/>
        <w:ind w:firstLine="567"/>
        <w:jc w:val="both"/>
        <w:rPr>
          <w:rFonts w:ascii="Times New Roman" w:hAnsi="Times New Roman" w:eastAsia="Times New Roman"/>
          <w:i/>
          <w:iCs/>
          <w:sz w:val="24"/>
          <w:szCs w:val="24"/>
        </w:rPr>
      </w:pPr>
      <w:r>
        <w:rPr>
          <w:rFonts w:ascii="Times New Roman" w:hAnsi="Times New Roman" w:eastAsia="Times New Roman" w:cs="Times New Roman"/>
          <w:i/>
          <w:iCs/>
          <w:sz w:val="24"/>
          <w:szCs w:val="24"/>
          <w:lang w:eastAsia="ru-RU"/>
        </w:rPr>
        <w:t>В нарушение п.59.1, п.70.1 Инструкции №191н дополнительно не сформированы и не предоставлены к проверке Отчет (ф.0503127), содержащий данные о бюджетных назначениях по доходам, расходам, источникам финансирования дефицита бюджета, отражение которых в части графы 4 разделов "Доходы бюджета" и "Источники финансирования дефицита бюджета", граф 4 и 5 раздела "Расходы бюджета" администраторами доходов, получателями средств бюджета, администратора</w:t>
      </w:r>
      <w:r>
        <w:rPr>
          <w:rFonts w:ascii="Times New Roman" w:hAnsi="Times New Roman" w:eastAsia="Times New Roman" w:cs="Times New Roman"/>
          <w:i/>
          <w:iCs/>
          <w:color w:val="000000" w:themeColor="text1"/>
          <w:sz w:val="24"/>
          <w:szCs w:val="24"/>
          <w:lang w:eastAsia="ru-RU"/>
          <w14:textFill>
            <w14:solidFill>
              <w14:schemeClr w14:val="tx1"/>
            </w14:solidFill>
          </w14:textFill>
        </w:rPr>
        <w:t xml:space="preserve">ми источников финансирования дефицита бюджета не предусмотрено пунктом 55 Инструкции №191н (Отчет ф.0503127 о бюджетных назначениях) </w:t>
      </w:r>
      <w:r>
        <w:rPr>
          <w:rFonts w:ascii="Times New Roman" w:hAnsi="Times New Roman"/>
          <w:i/>
          <w:iCs/>
          <w:color w:val="000000" w:themeColor="text1"/>
          <w:sz w:val="24"/>
          <w:szCs w:val="24"/>
          <w14:textFill>
            <w14:solidFill>
              <w14:schemeClr w14:val="tx1"/>
            </w14:solidFill>
          </w14:textFill>
        </w:rPr>
        <w:t xml:space="preserve">и </w:t>
      </w:r>
      <w:r>
        <w:rPr>
          <w:rFonts w:ascii="Times New Roman" w:hAnsi="Times New Roman" w:eastAsia="Times New Roman"/>
          <w:i/>
          <w:iCs/>
          <w:color w:val="000000" w:themeColor="text1"/>
          <w:sz w:val="24"/>
          <w:szCs w:val="24"/>
          <w14:textFill>
            <w14:solidFill>
              <w14:schemeClr w14:val="tx1"/>
            </w14:solidFill>
          </w14:textFill>
        </w:rPr>
        <w:t xml:space="preserve">Отчет </w:t>
      </w:r>
      <w:r>
        <w:fldChar w:fldCharType="begin"/>
      </w:r>
      <w:r>
        <w:instrText xml:space="preserve"> HYPERLINK "https://login.consultant.ru/link/?req=doc&amp;base=LAW&amp;n=494395&amp;dst=102296" </w:instrText>
      </w:r>
      <w:r>
        <w:fldChar w:fldCharType="separate"/>
      </w:r>
      <w:r>
        <w:rPr>
          <w:rFonts w:ascii="Times New Roman" w:hAnsi="Times New Roman" w:eastAsia="Times New Roman"/>
          <w:i/>
          <w:iCs/>
          <w:color w:val="000000" w:themeColor="text1"/>
          <w:sz w:val="24"/>
          <w:szCs w:val="24"/>
          <w14:textFill>
            <w14:solidFill>
              <w14:schemeClr w14:val="tx1"/>
            </w14:solidFill>
          </w14:textFill>
        </w:rPr>
        <w:t>(ф.0503128)</w:t>
      </w:r>
      <w:r>
        <w:rPr>
          <w:rFonts w:ascii="Times New Roman" w:hAnsi="Times New Roman" w:eastAsia="Times New Roman"/>
          <w:i/>
          <w:iCs/>
          <w:color w:val="000000" w:themeColor="text1"/>
          <w:sz w:val="24"/>
          <w:szCs w:val="24"/>
          <w14:textFill>
            <w14:solidFill>
              <w14:schemeClr w14:val="tx1"/>
            </w14:solidFill>
          </w14:textFill>
        </w:rPr>
        <w:fldChar w:fldCharType="end"/>
      </w:r>
      <w:r>
        <w:rPr>
          <w:rFonts w:ascii="Times New Roman" w:hAnsi="Times New Roman" w:eastAsia="Times New Roman"/>
          <w:i/>
          <w:iCs/>
          <w:color w:val="000000" w:themeColor="text1"/>
          <w:sz w:val="24"/>
          <w:szCs w:val="24"/>
          <w14:textFill>
            <w14:solidFill>
              <w14:schemeClr w14:val="tx1"/>
            </w14:solidFill>
          </w14:textFill>
        </w:rPr>
        <w:t xml:space="preserve"> в части </w:t>
      </w:r>
      <w:r>
        <w:fldChar w:fldCharType="begin"/>
      </w:r>
      <w:r>
        <w:instrText xml:space="preserve"> HYPERLINK "https://login.consultant.ru/link/?req=doc&amp;base=LAW&amp;n=494395&amp;dst=16703" </w:instrText>
      </w:r>
      <w:r>
        <w:fldChar w:fldCharType="separate"/>
      </w:r>
      <w:r>
        <w:rPr>
          <w:rFonts w:ascii="Times New Roman" w:hAnsi="Times New Roman" w:eastAsia="Times New Roman"/>
          <w:i/>
          <w:iCs/>
          <w:color w:val="000000" w:themeColor="text1"/>
          <w:sz w:val="24"/>
          <w:szCs w:val="24"/>
          <w14:textFill>
            <w14:solidFill>
              <w14:schemeClr w14:val="tx1"/>
            </w14:solidFill>
          </w14:textFill>
        </w:rPr>
        <w:t>граф 4</w:t>
      </w:r>
      <w:r>
        <w:rPr>
          <w:rFonts w:ascii="Times New Roman" w:hAnsi="Times New Roman" w:eastAsia="Times New Roman"/>
          <w:i/>
          <w:iCs/>
          <w:color w:val="000000" w:themeColor="text1"/>
          <w:sz w:val="24"/>
          <w:szCs w:val="24"/>
          <w14:textFill>
            <w14:solidFill>
              <w14:schemeClr w14:val="tx1"/>
            </w14:solidFill>
          </w14:textFill>
        </w:rPr>
        <w:fldChar w:fldCharType="end"/>
      </w:r>
      <w:r>
        <w:rPr>
          <w:rFonts w:ascii="Times New Roman" w:hAnsi="Times New Roman" w:eastAsia="Times New Roman"/>
          <w:i/>
          <w:iCs/>
          <w:color w:val="000000" w:themeColor="text1"/>
          <w:sz w:val="24"/>
          <w:szCs w:val="24"/>
          <w14:textFill>
            <w14:solidFill>
              <w14:schemeClr w14:val="tx1"/>
            </w14:solidFill>
          </w14:textFill>
        </w:rPr>
        <w:t xml:space="preserve"> и </w:t>
      </w:r>
      <w:r>
        <w:fldChar w:fldCharType="begin"/>
      </w:r>
      <w:r>
        <w:instrText xml:space="preserve"> HYPERLINK "https://login.consultant.ru/link/?req=doc&amp;base=LAW&amp;n=494395&amp;dst=16704" </w:instrText>
      </w:r>
      <w:r>
        <w:fldChar w:fldCharType="separate"/>
      </w:r>
      <w:r>
        <w:rPr>
          <w:rFonts w:ascii="Times New Roman" w:hAnsi="Times New Roman" w:eastAsia="Times New Roman"/>
          <w:i/>
          <w:iCs/>
          <w:color w:val="000000" w:themeColor="text1"/>
          <w:sz w:val="24"/>
          <w:szCs w:val="24"/>
          <w14:textFill>
            <w14:solidFill>
              <w14:schemeClr w14:val="tx1"/>
            </w14:solidFill>
          </w14:textFill>
        </w:rPr>
        <w:t>5</w:t>
      </w:r>
      <w:r>
        <w:rPr>
          <w:rFonts w:ascii="Times New Roman" w:hAnsi="Times New Roman" w:eastAsia="Times New Roman"/>
          <w:i/>
          <w:iCs/>
          <w:color w:val="000000" w:themeColor="text1"/>
          <w:sz w:val="24"/>
          <w:szCs w:val="24"/>
          <w14:textFill>
            <w14:solidFill>
              <w14:schemeClr w14:val="tx1"/>
            </w14:solidFill>
          </w14:textFill>
        </w:rPr>
        <w:fldChar w:fldCharType="end"/>
      </w:r>
      <w:r>
        <w:rPr>
          <w:rFonts w:ascii="Times New Roman" w:hAnsi="Times New Roman" w:eastAsia="Times New Roman"/>
          <w:i/>
          <w:iCs/>
          <w:color w:val="000000" w:themeColor="text1"/>
          <w:sz w:val="24"/>
          <w:szCs w:val="24"/>
          <w14:textFill>
            <w14:solidFill>
              <w14:schemeClr w14:val="tx1"/>
            </w14:solidFill>
          </w14:textFill>
        </w:rPr>
        <w:t xml:space="preserve"> на </w:t>
      </w:r>
      <w:r>
        <w:rPr>
          <w:rFonts w:ascii="Times New Roman" w:hAnsi="Times New Roman" w:eastAsia="Times New Roman"/>
          <w:i/>
          <w:iCs/>
          <w:sz w:val="24"/>
          <w:szCs w:val="24"/>
        </w:rPr>
        <w:t>суммы нераспределенных бюджетных назначений (Отчет ф.0503128 о бюджетных назначениях).</w:t>
      </w:r>
    </w:p>
    <w:p w14:paraId="0DABE868">
      <w:pPr>
        <w:tabs>
          <w:tab w:val="left" w:pos="780"/>
        </w:tabs>
        <w:spacing w:before="120" w:after="0" w:line="240" w:lineRule="auto"/>
        <w:ind w:firstLine="567"/>
        <w:rPr>
          <w:rFonts w:ascii="Times New Roman" w:hAnsi="Times New Roman" w:cs="Times New Roman"/>
          <w:sz w:val="24"/>
          <w:szCs w:val="24"/>
        </w:rPr>
      </w:pPr>
      <w:r>
        <w:rPr>
          <w:rFonts w:ascii="Times New Roman" w:hAnsi="Times New Roman" w:cs="Times New Roman"/>
          <w:sz w:val="24"/>
          <w:szCs w:val="24"/>
        </w:rPr>
        <w:t>Пояснительная записка ф.0503160 включает в себя текстовую часть, таблицы и приложения:</w:t>
      </w:r>
    </w:p>
    <w:p w14:paraId="17DF52A4">
      <w:pPr>
        <w:spacing w:after="0" w:line="240" w:lineRule="auto"/>
        <w:jc w:val="both"/>
        <w:rPr>
          <w:rFonts w:ascii="Times New Roman" w:hAnsi="Times New Roman"/>
          <w:sz w:val="24"/>
          <w:szCs w:val="24"/>
        </w:rPr>
      </w:pPr>
      <w:r>
        <w:rPr>
          <w:rFonts w:ascii="Times New Roman" w:hAnsi="Times New Roman"/>
          <w:sz w:val="24"/>
          <w:szCs w:val="24"/>
        </w:rPr>
        <w:t>- Таблица №11 «Сведения об организационной структуре субъекта бюджетной отчетности»;</w:t>
      </w:r>
    </w:p>
    <w:p w14:paraId="4801D699">
      <w:pPr>
        <w:spacing w:after="0" w:line="240" w:lineRule="auto"/>
        <w:jc w:val="both"/>
        <w:rPr>
          <w:rFonts w:ascii="Times New Roman" w:hAnsi="Times New Roman"/>
          <w:sz w:val="24"/>
          <w:szCs w:val="24"/>
        </w:rPr>
      </w:pPr>
      <w:r>
        <w:rPr>
          <w:rFonts w:ascii="Times New Roman" w:hAnsi="Times New Roman" w:cs="Times New Roman"/>
          <w:sz w:val="24"/>
          <w:szCs w:val="24"/>
        </w:rPr>
        <w:t>- Таблица №12 «</w:t>
      </w:r>
      <w:r>
        <w:rPr>
          <w:rFonts w:ascii="Times New Roman" w:hAnsi="Times New Roman"/>
          <w:sz w:val="24"/>
          <w:szCs w:val="24"/>
        </w:rPr>
        <w:t>Сведения о результатах деятельности субъекта бюджетной отчетности»;</w:t>
      </w:r>
    </w:p>
    <w:p w14:paraId="546BE475">
      <w:pPr>
        <w:spacing w:after="0" w:line="240" w:lineRule="auto"/>
        <w:jc w:val="both"/>
        <w:rPr>
          <w:rFonts w:ascii="Times New Roman" w:hAnsi="Times New Roman"/>
          <w:sz w:val="24"/>
          <w:szCs w:val="24"/>
        </w:rPr>
      </w:pPr>
      <w:r>
        <w:rPr>
          <w:rFonts w:ascii="Times New Roman" w:hAnsi="Times New Roman" w:cs="Times New Roman"/>
          <w:sz w:val="24"/>
          <w:szCs w:val="24"/>
        </w:rPr>
        <w:t>- Таблица №13 «</w:t>
      </w:r>
      <w:r>
        <w:rPr>
          <w:rFonts w:ascii="Times New Roman" w:hAnsi="Times New Roman"/>
          <w:sz w:val="24"/>
          <w:szCs w:val="24"/>
        </w:rPr>
        <w:t>Анализ отчета об исполнении бюджета субъектом бюджетной отчетности»;</w:t>
      </w:r>
    </w:p>
    <w:p w14:paraId="49C34543">
      <w:pPr>
        <w:spacing w:after="0" w:line="240" w:lineRule="auto"/>
        <w:jc w:val="both"/>
        <w:rPr>
          <w:rFonts w:ascii="Times New Roman" w:hAnsi="Times New Roman"/>
          <w:sz w:val="24"/>
          <w:szCs w:val="24"/>
        </w:rPr>
      </w:pPr>
      <w:r>
        <w:rPr>
          <w:rFonts w:ascii="Times New Roman" w:hAnsi="Times New Roman"/>
          <w:sz w:val="24"/>
          <w:szCs w:val="24"/>
        </w:rPr>
        <w:t>- Таблица №14 «Анализ показателей отчетности субъекта бюджетной отчетности»;</w:t>
      </w:r>
    </w:p>
    <w:p w14:paraId="0B4F4AF9">
      <w:pPr>
        <w:spacing w:after="0" w:line="240" w:lineRule="auto"/>
        <w:jc w:val="both"/>
        <w:rPr>
          <w:rFonts w:ascii="Times New Roman" w:hAnsi="Times New Roman"/>
          <w:sz w:val="24"/>
          <w:szCs w:val="24"/>
        </w:rPr>
      </w:pPr>
      <w:r>
        <w:rPr>
          <w:rFonts w:ascii="Times New Roman" w:hAnsi="Times New Roman"/>
          <w:sz w:val="24"/>
          <w:szCs w:val="24"/>
        </w:rPr>
        <w:t>- Таблица №16 «Прочие вопросы деятельности субъекта бюджетной отчетности»;</w:t>
      </w:r>
    </w:p>
    <w:p w14:paraId="11200B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Сведения об исполнении бюджета ф.0503164;</w:t>
      </w:r>
    </w:p>
    <w:p w14:paraId="67D8CD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Сведения о движении нефинансовых активов ф.0503168;</w:t>
      </w:r>
    </w:p>
    <w:p w14:paraId="2CC699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Сведения по дебиторской и кредиторской задолженности ф.0503169;</w:t>
      </w:r>
    </w:p>
    <w:p w14:paraId="26015E9B">
      <w:pPr>
        <w:spacing w:after="0" w:line="240" w:lineRule="auto"/>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sz w:val="24"/>
          <w:szCs w:val="24"/>
        </w:rPr>
        <w:t>Сведения об изменении остатков валюты баланса ф.0503173;</w:t>
      </w:r>
    </w:p>
    <w:p w14:paraId="2B813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Сведения о принятых и неисполненных обязательствах получателя бюджетных средств ф.0503175;</w:t>
      </w:r>
    </w:p>
    <w:p w14:paraId="70F3EB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Сведения об остатках денежных средств на счетах получателя бюджетных средств (средства во временном распоряжении) ф.0503178;</w:t>
      </w:r>
    </w:p>
    <w:p w14:paraId="22856669">
      <w:pPr>
        <w:spacing w:after="0" w:line="240" w:lineRule="auto"/>
        <w:jc w:val="both"/>
        <w:rPr>
          <w:rFonts w:ascii="Times New Roman" w:hAnsi="Times New Roman"/>
          <w:sz w:val="24"/>
          <w:szCs w:val="24"/>
        </w:rPr>
      </w:pPr>
      <w:r>
        <w:rPr>
          <w:rFonts w:ascii="Times New Roman" w:hAnsi="Times New Roman"/>
          <w:sz w:val="24"/>
          <w:szCs w:val="24"/>
        </w:rPr>
        <w:t>- Сведения о вложениях в объекты недвижимого имущества, объектах незавершенного строительства ф.0503190;</w:t>
      </w:r>
    </w:p>
    <w:p w14:paraId="6F5EB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Сведения об исполнении судебных решений по денежным обязательствам ф.0503296.</w:t>
      </w:r>
    </w:p>
    <w:p w14:paraId="5287F3F0">
      <w:pPr>
        <w:spacing w:after="72" w:afterLines="3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 xml:space="preserve">Дополнительно предоставлены: </w:t>
      </w:r>
      <w:r>
        <w:rPr>
          <w:rFonts w:ascii="Times New Roman" w:hAnsi="Times New Roman" w:cs="Times New Roman"/>
          <w:bCs/>
          <w:sz w:val="24"/>
          <w:szCs w:val="24"/>
        </w:rPr>
        <w:t>Главные книги за 2024 год, материалы по инвентаризации.</w:t>
      </w:r>
    </w:p>
    <w:p w14:paraId="32922A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 исполнение п.4 Инструкции №191н бюджетная отчетность представлена на бумажном носителе в сброшюрованном и пронумерованном виде с оглавлением и сопроводительным письмом. Бюджетная отчетность содержит все формы отчетов (за исключением форм бюджетной отчетности, не имеющих числового значения) и подписана руководителем Гринько Ю.М. и директором </w:t>
      </w:r>
      <w:r>
        <w:rPr>
          <w:rFonts w:ascii="Times New Roman" w:hAnsi="Times New Roman" w:eastAsia="Times New Roman" w:cs="Times New Roman"/>
          <w:sz w:val="24"/>
          <w:szCs w:val="24"/>
          <w:lang w:eastAsia="ru-RU"/>
        </w:rPr>
        <w:t xml:space="preserve">МКУ «Централизованная бухгалтерия </w:t>
      </w:r>
      <w:r>
        <w:rPr>
          <w:rFonts w:ascii="Times New Roman" w:hAnsi="Times New Roman" w:cs="Times New Roman"/>
          <w:color w:val="000000" w:themeColor="text1"/>
          <w:sz w:val="24"/>
          <w:szCs w:val="24"/>
          <w14:textFill>
            <w14:solidFill>
              <w14:schemeClr w14:val="tx1"/>
            </w14:solidFill>
          </w14:textFill>
        </w:rPr>
        <w:t xml:space="preserve">Управления </w:t>
      </w:r>
      <w:r>
        <w:rPr>
          <w:rFonts w:ascii="Times New Roman" w:hAnsi="Times New Roman" w:cs="Times New Roman"/>
          <w:color w:val="000000" w:themeColor="text1"/>
          <w:sz w:val="24"/>
          <w:szCs w:val="24"/>
          <w:lang w:val="ru-RU"/>
          <w14:textFill>
            <w14:solidFill>
              <w14:schemeClr w14:val="tx1"/>
            </w14:solidFill>
          </w14:textFill>
        </w:rPr>
        <w:t>образованием</w:t>
      </w:r>
      <w:bookmarkStart w:id="0" w:name="_GoBack"/>
      <w:bookmarkEnd w:id="0"/>
      <w:r>
        <w:rPr>
          <w:rFonts w:ascii="Times New Roman" w:hAnsi="Times New Roman" w:cs="Times New Roman"/>
          <w:color w:val="000000" w:themeColor="text1"/>
          <w:sz w:val="24"/>
          <w:szCs w:val="24"/>
          <w14:textFill>
            <w14:solidFill>
              <w14:schemeClr w14:val="tx1"/>
            </w14:solidFill>
          </w14:textFill>
        </w:rPr>
        <w:t xml:space="preserve"> администрации МО «Ахтубинский район»</w:t>
      </w:r>
      <w:r>
        <w:rPr>
          <w:rFonts w:ascii="Times New Roman" w:hAnsi="Times New Roman" w:cs="Times New Roman"/>
          <w:sz w:val="24"/>
          <w:szCs w:val="24"/>
        </w:rPr>
        <w:t xml:space="preserve"> Прилуцкой Г.К. </w:t>
      </w:r>
    </w:p>
    <w:p w14:paraId="6D638B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Бюджетная отчетность составлена нарастающим итогом с начала года в рублях с точностью до второго десятичного знака после запятой (п.9 Инструкции №191н).</w:t>
      </w:r>
    </w:p>
    <w:p w14:paraId="2A1250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Результаты проведения проверки выполнения контрольных соотношений между показателями форм бюджетной отчетности в автоматическом режиме подтверждены протоколом проверки междокументных контрольных соотношений с отметкой «проверка выполнена успешно».</w:t>
      </w:r>
    </w:p>
    <w:p w14:paraId="7A3BF0AA">
      <w:pPr>
        <w:spacing w:after="72" w:afterLines="3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Согласно п.7 Инструкции №191н в целях составления годовой бюджетной отчетности проводится инвентаризация активов и обязательств в порядке, установленном экономическим субъектом в рамках формирования его учетной политики. В целях подтверждения показателей годовой бюджетной отчетности в соответствии с Решениями о проведении инвентаризации проведена инвентаризация во всех учреждениях управления </w:t>
      </w:r>
      <w:r>
        <w:rPr>
          <w:rFonts w:ascii="Times New Roman" w:hAnsi="Times New Roman" w:cs="Times New Roman"/>
          <w:sz w:val="24"/>
          <w:szCs w:val="24"/>
          <w:lang w:val="ru-RU"/>
        </w:rPr>
        <w:t>образования</w:t>
      </w:r>
      <w:r>
        <w:rPr>
          <w:rFonts w:ascii="Times New Roman" w:hAnsi="Times New Roman" w:cs="Times New Roman"/>
          <w:sz w:val="24"/>
          <w:szCs w:val="24"/>
        </w:rPr>
        <w:t>. По результатам инвентаризации расхождений между фактическим наличием активов и состоянием расчетов с данными бюджетного учета не выявлено.</w:t>
      </w:r>
    </w:p>
    <w:p w14:paraId="58BB96F7">
      <w:pPr>
        <w:spacing w:after="72" w:afterLines="3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ходе проведения проверки выявлено:</w:t>
      </w:r>
    </w:p>
    <w:p w14:paraId="195E73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МКДОУ "Нижнебаскунчакский детский сад МО "Ахтубинский район": данные о наличии в постоянном бессрочном пользовании земельного участка с кадастровым номером 30:01:060201:24 не направлены в бухгалтерию и не приняты к учету;</w:t>
      </w:r>
    </w:p>
    <w:p w14:paraId="513DDE1C">
      <w:pPr>
        <w:spacing w:after="72" w:afterLines="30" w:line="240" w:lineRule="auto"/>
        <w:ind w:firstLine="567"/>
        <w:jc w:val="both"/>
        <w:rPr>
          <w:rFonts w:ascii="Times New Roman" w:hAnsi="Times New Roman"/>
          <w:sz w:val="24"/>
          <w:szCs w:val="24"/>
        </w:rPr>
      </w:pPr>
      <w:r>
        <w:rPr>
          <w:rFonts w:ascii="Times New Roman" w:hAnsi="Times New Roman" w:cs="Times New Roman"/>
          <w:sz w:val="24"/>
          <w:szCs w:val="24"/>
        </w:rPr>
        <w:t xml:space="preserve">- МКОУ </w:t>
      </w:r>
      <w:r>
        <w:rPr>
          <w:rFonts w:ascii="Times New Roman" w:hAnsi="Times New Roman"/>
          <w:sz w:val="24"/>
          <w:szCs w:val="24"/>
        </w:rPr>
        <w:t xml:space="preserve">«СОШ №3 МО «Ахтубинский район»: земельный участок </w:t>
      </w:r>
      <w:r>
        <w:rPr>
          <w:rFonts w:ascii="Times New Roman" w:hAnsi="Times New Roman" w:cs="Times New Roman"/>
          <w:sz w:val="24"/>
          <w:szCs w:val="24"/>
        </w:rPr>
        <w:t>с кадастровым номером</w:t>
      </w:r>
      <w:r>
        <w:rPr>
          <w:rFonts w:ascii="Times New Roman" w:hAnsi="Times New Roman"/>
          <w:sz w:val="24"/>
          <w:szCs w:val="24"/>
        </w:rPr>
        <w:t xml:space="preserve"> №30:01:000000:1189 снят с регистрационного учета, однако учитывается на балансе учреждения.</w:t>
      </w:r>
    </w:p>
    <w:p w14:paraId="4C03215E">
      <w:pPr>
        <w:spacing w:after="72" w:afterLines="30" w:line="240" w:lineRule="auto"/>
        <w:ind w:firstLine="567"/>
        <w:jc w:val="both"/>
        <w:rPr>
          <w:rFonts w:ascii="Times New Roman" w:hAnsi="Times New Roman" w:cs="Times New Roman"/>
          <w:i/>
          <w:iCs/>
          <w:sz w:val="24"/>
          <w:szCs w:val="24"/>
        </w:rPr>
      </w:pPr>
      <w:r>
        <w:rPr>
          <w:rFonts w:ascii="Times New Roman" w:hAnsi="Times New Roman"/>
          <w:i/>
          <w:iCs/>
          <w:sz w:val="24"/>
          <w:szCs w:val="24"/>
        </w:rPr>
        <w:t xml:space="preserve">В нарушение ст.11 ФЗ </w:t>
      </w:r>
      <w:r>
        <w:rPr>
          <w:rFonts w:ascii="Times New Roman" w:hAnsi="Times New Roman" w:cs="Times New Roman"/>
          <w:i/>
          <w:iCs/>
          <w:sz w:val="24"/>
          <w:szCs w:val="24"/>
        </w:rPr>
        <w:t xml:space="preserve">№402-ФЗ, </w:t>
      </w:r>
      <w:r>
        <w:fldChar w:fldCharType="begin"/>
      </w:r>
      <w:r>
        <w:instrText xml:space="preserve"> HYPERLINK "https://login.consultant.ru/link/?req=doc&amp;base=LAW&amp;n=460116&amp;dst=100209" </w:instrText>
      </w:r>
      <w:r>
        <w:fldChar w:fldCharType="separate"/>
      </w:r>
      <w:r>
        <w:rPr>
          <w:rFonts w:ascii="Times New Roman" w:hAnsi="Times New Roman" w:cs="Times New Roman"/>
          <w:i/>
          <w:iCs/>
          <w:sz w:val="24"/>
          <w:szCs w:val="24"/>
        </w:rPr>
        <w:t>разд. VIII</w:t>
      </w:r>
      <w:r>
        <w:rPr>
          <w:rFonts w:ascii="Times New Roman" w:hAnsi="Times New Roman" w:cs="Times New Roman"/>
          <w:i/>
          <w:iCs/>
          <w:sz w:val="24"/>
          <w:szCs w:val="24"/>
        </w:rPr>
        <w:fldChar w:fldCharType="end"/>
      </w:r>
      <w:r>
        <w:rPr>
          <w:rFonts w:ascii="Times New Roman" w:hAnsi="Times New Roman" w:cs="Times New Roman"/>
          <w:i/>
          <w:iCs/>
          <w:sz w:val="24"/>
          <w:szCs w:val="24"/>
        </w:rPr>
        <w:t xml:space="preserve"> СГС "Концептуальные основы", п.1.2 приложения «</w:t>
      </w:r>
      <w:r>
        <w:rPr>
          <w:rFonts w:ascii="Times New Roman" w:hAnsi="Times New Roman"/>
          <w:i/>
          <w:iCs/>
          <w:sz w:val="24"/>
          <w:szCs w:val="24"/>
        </w:rPr>
        <w:t xml:space="preserve">Порядок проведения инвентаризации активов и обязательств» учетной политики Управления </w:t>
      </w:r>
      <w:r>
        <w:rPr>
          <w:rFonts w:ascii="Times New Roman" w:hAnsi="Times New Roman"/>
          <w:i/>
          <w:iCs/>
          <w:sz w:val="24"/>
          <w:szCs w:val="24"/>
          <w:lang w:val="ru-RU"/>
        </w:rPr>
        <w:t>образования</w:t>
      </w:r>
      <w:r>
        <w:rPr>
          <w:rFonts w:ascii="Times New Roman" w:hAnsi="Times New Roman" w:cs="Times New Roman"/>
          <w:i/>
          <w:iCs/>
          <w:sz w:val="24"/>
          <w:szCs w:val="24"/>
        </w:rPr>
        <w:t xml:space="preserve"> инвентаризация </w:t>
      </w:r>
      <w:r>
        <w:rPr>
          <w:rFonts w:ascii="Times New Roman" w:hAnsi="Times New Roman"/>
          <w:i/>
          <w:iCs/>
          <w:sz w:val="24"/>
          <w:szCs w:val="24"/>
        </w:rPr>
        <w:t xml:space="preserve">в целях составления годовой бюджетной отчетности </w:t>
      </w:r>
      <w:r>
        <w:rPr>
          <w:rFonts w:ascii="Times New Roman" w:hAnsi="Times New Roman" w:cs="Times New Roman"/>
          <w:i/>
          <w:iCs/>
          <w:sz w:val="24"/>
          <w:szCs w:val="24"/>
        </w:rPr>
        <w:t>проведена не в полном объеме.</w:t>
      </w:r>
    </w:p>
    <w:p w14:paraId="41DE34D9">
      <w:pPr>
        <w:numPr>
          <w:ilvl w:val="0"/>
          <w:numId w:val="3"/>
        </w:numPr>
        <w:spacing w:after="0"/>
        <w:jc w:val="center"/>
        <w:rPr>
          <w:rFonts w:ascii="Times New Roman" w:hAnsi="Times New Roman" w:cs="Times New Roman"/>
          <w:b/>
          <w:bCs/>
          <w:sz w:val="24"/>
          <w:szCs w:val="24"/>
        </w:rPr>
      </w:pPr>
      <w:r>
        <w:rPr>
          <w:rFonts w:ascii="Times New Roman" w:hAnsi="Times New Roman" w:cs="Times New Roman"/>
          <w:b/>
          <w:bCs/>
          <w:sz w:val="24"/>
          <w:szCs w:val="24"/>
          <w:lang w:eastAsia="zh-CN"/>
        </w:rPr>
        <w:t>Проверка правильности составления, ведения бюджетной росписи ГРБС</w:t>
      </w:r>
    </w:p>
    <w:p w14:paraId="6F7AC784">
      <w:pPr>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В соответствии с п.1 ст.217, п.1 ст.219.1 БК РФ утвержден приказ Финансового управления от 31.12.2015 №44-с «Об утверждении Порядка составления и ведения сводной бюджетной росписи бюджета муниципального образования «Ахтубинский район» и бюджетных росписей главных распорядителей средств бюджета муниципального образования «Ахтубинский район» (главных администраторов источников финансирования дефицита бюджета муниципального образования «Ахтубинский район»), (далее - Порядок ведения бюджетной росписи). </w:t>
      </w:r>
    </w:p>
    <w:p w14:paraId="57F2E0CE">
      <w:pPr>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В соответствии с установленным Порядком ведения бюджетной росписи, бюджетные ассигнования по расходам на 2024 год утверждены решением Совета </w:t>
      </w:r>
      <w:r>
        <w:rPr>
          <w:rFonts w:ascii="Times New Roman" w:hAnsi="Times New Roman" w:cs="Times New Roman"/>
          <w:sz w:val="24"/>
          <w:szCs w:val="24"/>
        </w:rPr>
        <w:t xml:space="preserve">муниципального образования «Ахтубинский муниципальный район Астраханской области» от 12.12.2024 №38 «О внесении изменений в решение Совета муниципального образования «Ахтубинский муниципальный район Астраханской области» от 07.12.2023 №390 «О бюджете муниципального образования «Ахтубинский муниципальный район Астраханской области» на 2024 год и плановый период 2025-2026 годов» и </w:t>
      </w:r>
      <w:r>
        <w:rPr>
          <w:rFonts w:ascii="Times New Roman" w:hAnsi="Times New Roman"/>
          <w:color w:val="000000" w:themeColor="text1"/>
          <w:sz w:val="24"/>
          <w:szCs w:val="24"/>
          <w14:textFill>
            <w14:solidFill>
              <w14:schemeClr w14:val="tx1"/>
            </w14:solidFill>
          </w14:textFill>
        </w:rPr>
        <w:t>сводной бюджетной росписью от 28.12.2024г.</w:t>
      </w:r>
      <w:r>
        <w:rPr>
          <w:rFonts w:ascii="Times New Roman" w:hAnsi="Times New Roman" w:cs="Times New Roman"/>
          <w:sz w:val="24"/>
          <w:szCs w:val="24"/>
          <w:lang w:eastAsia="zh-CN"/>
        </w:rPr>
        <w:t xml:space="preserve"> </w:t>
      </w:r>
    </w:p>
    <w:p w14:paraId="03B2FD48">
      <w:pPr>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В соответствии с требованиями Порядка ведения бюджетной росписи, бюджетные ассигнования по расходам утверждены в разрезе главных распорядителей средств бюджета, разделов, подразделов, целевых статей (муниципальных программ и непрограммных направлений деятельности), групп, подгрупп видов расходов классификации расходов бюджета. </w:t>
      </w:r>
    </w:p>
    <w:p w14:paraId="51F4DCA5">
      <w:pPr>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Показатели сводной бюджетной росписи главного распорядителя бюджетных средств представлены в таблице:</w:t>
      </w:r>
    </w:p>
    <w:p w14:paraId="70F7F8A6">
      <w:pPr>
        <w:wordWrap w:val="0"/>
        <w:spacing w:after="0"/>
        <w:ind w:firstLine="709"/>
        <w:jc w:val="right"/>
        <w:rPr>
          <w:rFonts w:ascii="Times New Roman" w:hAnsi="Times New Roman" w:cs="Times New Roman"/>
          <w:sz w:val="24"/>
          <w:szCs w:val="24"/>
          <w:lang w:eastAsia="zh-CN"/>
        </w:rPr>
      </w:pPr>
    </w:p>
    <w:p w14:paraId="1315B66C">
      <w:pPr>
        <w:wordWrap w:val="0"/>
        <w:spacing w:after="0"/>
        <w:ind w:firstLine="709"/>
        <w:jc w:val="right"/>
        <w:rPr>
          <w:rFonts w:ascii="Times New Roman" w:hAnsi="Times New Roman" w:cs="Times New Roman"/>
          <w:sz w:val="24"/>
          <w:szCs w:val="24"/>
          <w:lang w:eastAsia="zh-CN"/>
        </w:rPr>
      </w:pPr>
    </w:p>
    <w:p w14:paraId="761221CF">
      <w:pPr>
        <w:wordWrap w:val="0"/>
        <w:spacing w:after="0"/>
        <w:ind w:firstLine="709"/>
        <w:jc w:val="right"/>
        <w:rPr>
          <w:rFonts w:ascii="Times New Roman" w:hAnsi="Times New Roman" w:cs="Times New Roman"/>
          <w:sz w:val="24"/>
          <w:szCs w:val="24"/>
          <w:lang w:eastAsia="zh-CN"/>
        </w:rPr>
      </w:pPr>
      <w:r>
        <w:rPr>
          <w:rFonts w:ascii="Times New Roman" w:hAnsi="Times New Roman" w:cs="Times New Roman"/>
          <w:sz w:val="24"/>
          <w:szCs w:val="24"/>
          <w:lang w:eastAsia="zh-CN"/>
        </w:rPr>
        <w:t>Таблица №3 (руб.)</w:t>
      </w:r>
    </w:p>
    <w:tbl>
      <w:tblPr>
        <w:tblStyle w:val="13"/>
        <w:tblW w:w="10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3667"/>
        <w:gridCol w:w="1843"/>
        <w:gridCol w:w="2126"/>
        <w:gridCol w:w="1819"/>
      </w:tblGrid>
      <w:tr w14:paraId="2CFBF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exact"/>
          <w:jc w:val="center"/>
        </w:trPr>
        <w:tc>
          <w:tcPr>
            <w:tcW w:w="864" w:type="dxa"/>
            <w:vAlign w:val="center"/>
          </w:tcPr>
          <w:p w14:paraId="0C7BBB8E">
            <w:pPr>
              <w:spacing w:after="0" w:line="240" w:lineRule="auto"/>
              <w:ind w:left="-113"/>
              <w:jc w:val="center"/>
              <w:rPr>
                <w:rFonts w:ascii="Times New Roman" w:hAnsi="Times New Roman" w:cs="Times New Roman"/>
              </w:rPr>
            </w:pPr>
            <w:r>
              <w:rPr>
                <w:rFonts w:ascii="Times New Roman" w:hAnsi="Times New Roman" w:cs="Times New Roman"/>
              </w:rPr>
              <w:t>Раздел/подраздел</w:t>
            </w:r>
          </w:p>
        </w:tc>
        <w:tc>
          <w:tcPr>
            <w:tcW w:w="3667" w:type="dxa"/>
            <w:vAlign w:val="center"/>
          </w:tcPr>
          <w:p w14:paraId="6E627B9C">
            <w:pPr>
              <w:spacing w:after="0" w:line="240" w:lineRule="auto"/>
              <w:jc w:val="center"/>
              <w:rPr>
                <w:rFonts w:ascii="Times New Roman" w:hAnsi="Times New Roman" w:cs="Times New Roman"/>
              </w:rPr>
            </w:pPr>
            <w:r>
              <w:rPr>
                <w:rFonts w:ascii="Times New Roman" w:hAnsi="Times New Roman" w:cs="Times New Roman"/>
              </w:rPr>
              <w:t>Наименование раздела, подраздела</w:t>
            </w:r>
          </w:p>
        </w:tc>
        <w:tc>
          <w:tcPr>
            <w:tcW w:w="1843" w:type="dxa"/>
            <w:vAlign w:val="center"/>
          </w:tcPr>
          <w:p w14:paraId="697F6DB1">
            <w:pPr>
              <w:spacing w:after="0" w:line="240" w:lineRule="auto"/>
              <w:ind w:left="-108" w:right="-108"/>
              <w:jc w:val="center"/>
              <w:textAlignment w:val="top"/>
              <w:rPr>
                <w:rFonts w:ascii="Times New Roman" w:hAnsi="Times New Roman" w:cs="Times New Roman"/>
              </w:rPr>
            </w:pPr>
            <w:r>
              <w:rPr>
                <w:rFonts w:ascii="Times New Roman" w:hAnsi="Times New Roman" w:eastAsia="SimSun" w:cs="Times New Roman"/>
                <w:color w:val="000000"/>
                <w:lang w:eastAsia="zh-CN" w:bidi="ar"/>
              </w:rPr>
              <w:t>Утверждено Решением Совета от 12.12.2024 №38 на 2024 год</w:t>
            </w:r>
          </w:p>
        </w:tc>
        <w:tc>
          <w:tcPr>
            <w:tcW w:w="2126" w:type="dxa"/>
            <w:vAlign w:val="center"/>
          </w:tcPr>
          <w:p w14:paraId="1427ECD3">
            <w:pPr>
              <w:spacing w:after="0" w:line="240" w:lineRule="auto"/>
              <w:ind w:left="-108" w:right="-108"/>
              <w:jc w:val="center"/>
              <w:textAlignment w:val="top"/>
              <w:rPr>
                <w:rFonts w:ascii="Times New Roman" w:hAnsi="Times New Roman" w:cs="Times New Roman"/>
              </w:rPr>
            </w:pPr>
            <w:r>
              <w:rPr>
                <w:rStyle w:val="23"/>
                <w:rFonts w:eastAsia="SimSun"/>
                <w:lang w:eastAsia="zh-CN" w:bidi="ar"/>
              </w:rPr>
              <w:t>Утверждено сводной бюджетной росписью от 28.12.2024г.</w:t>
            </w:r>
          </w:p>
        </w:tc>
        <w:tc>
          <w:tcPr>
            <w:tcW w:w="1819" w:type="dxa"/>
            <w:vAlign w:val="center"/>
          </w:tcPr>
          <w:p w14:paraId="208FD6E3">
            <w:pPr>
              <w:spacing w:after="0" w:line="240" w:lineRule="auto"/>
              <w:jc w:val="center"/>
              <w:textAlignment w:val="top"/>
              <w:rPr>
                <w:rFonts w:ascii="Times New Roman" w:hAnsi="Times New Roman" w:cs="Times New Roman"/>
              </w:rPr>
            </w:pPr>
            <w:r>
              <w:rPr>
                <w:rFonts w:ascii="Times New Roman" w:hAnsi="Times New Roman" w:eastAsia="SimSun" w:cs="Times New Roman"/>
                <w:color w:val="000000"/>
                <w:lang w:eastAsia="zh-CN" w:bidi="ar"/>
              </w:rPr>
              <w:t>Изменение</w:t>
            </w:r>
          </w:p>
        </w:tc>
      </w:tr>
      <w:tr w14:paraId="05EDB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864" w:type="dxa"/>
            <w:shd w:val="clear" w:color="auto" w:fill="auto"/>
            <w:vAlign w:val="center"/>
          </w:tcPr>
          <w:p w14:paraId="4CC6E881">
            <w:pPr>
              <w:spacing w:after="0" w:line="240" w:lineRule="auto"/>
              <w:jc w:val="center"/>
              <w:textAlignment w:val="center"/>
              <w:rPr>
                <w:rFonts w:ascii="Times New Roman" w:hAnsi="Times New Roman" w:cs="Times New Roman"/>
                <w:b/>
                <w:bCs/>
                <w:highlight w:val="yellow"/>
              </w:rPr>
            </w:pPr>
            <w:r>
              <w:rPr>
                <w:rFonts w:ascii="Times New Roman" w:hAnsi="Times New Roman" w:eastAsia="SimSun" w:cs="Times New Roman"/>
                <w:b/>
                <w:bCs/>
                <w:color w:val="000000"/>
                <w:lang w:eastAsia="zh-CN" w:bidi="ar"/>
              </w:rPr>
              <w:t>Всего</w:t>
            </w:r>
          </w:p>
        </w:tc>
        <w:tc>
          <w:tcPr>
            <w:tcW w:w="3667" w:type="dxa"/>
            <w:shd w:val="clear" w:color="auto" w:fill="auto"/>
            <w:vAlign w:val="center"/>
          </w:tcPr>
          <w:p w14:paraId="7A34B8EC">
            <w:pPr>
              <w:spacing w:after="0" w:line="240" w:lineRule="auto"/>
              <w:jc w:val="center"/>
              <w:textAlignment w:val="center"/>
              <w:rPr>
                <w:rFonts w:hint="default" w:ascii="Times New Roman" w:hAnsi="Times New Roman" w:cs="Times New Roman"/>
                <w:b/>
                <w:bCs/>
                <w:highlight w:val="yellow"/>
                <w:lang w:val="ru-RU"/>
              </w:rPr>
            </w:pPr>
            <w:r>
              <w:rPr>
                <w:rFonts w:ascii="Times New Roman" w:hAnsi="Times New Roman" w:eastAsia="SimSun" w:cs="Times New Roman"/>
                <w:b/>
                <w:bCs/>
                <w:color w:val="000000"/>
                <w:lang w:eastAsia="zh-CN" w:bidi="ar"/>
              </w:rPr>
              <w:t xml:space="preserve">Управление </w:t>
            </w:r>
            <w:r>
              <w:rPr>
                <w:rFonts w:ascii="Times New Roman" w:hAnsi="Times New Roman" w:eastAsia="SimSun" w:cs="Times New Roman"/>
                <w:b/>
                <w:bCs/>
                <w:color w:val="000000"/>
                <w:lang w:val="ru-RU" w:eastAsia="zh-CN" w:bidi="ar"/>
              </w:rPr>
              <w:t>образования</w:t>
            </w:r>
          </w:p>
        </w:tc>
        <w:tc>
          <w:tcPr>
            <w:tcW w:w="1843" w:type="dxa"/>
            <w:shd w:val="clear" w:color="auto" w:fill="auto"/>
            <w:vAlign w:val="center"/>
          </w:tcPr>
          <w:p w14:paraId="421439A9">
            <w:pPr>
              <w:spacing w:after="0" w:line="240" w:lineRule="auto"/>
              <w:jc w:val="center"/>
              <w:textAlignment w:val="top"/>
              <w:rPr>
                <w:rFonts w:ascii="Times New Roman" w:hAnsi="Times New Roman" w:cs="Times New Roman"/>
                <w:b/>
                <w:bCs/>
                <w:highlight w:val="yellow"/>
              </w:rPr>
            </w:pPr>
            <w:r>
              <w:rPr>
                <w:rFonts w:ascii="Times New Roman" w:hAnsi="Times New Roman" w:eastAsia="SimSun" w:cs="Times New Roman"/>
                <w:b/>
                <w:bCs/>
                <w:color w:val="000000"/>
                <w:lang w:eastAsia="zh-CN" w:bidi="ar"/>
              </w:rPr>
              <w:t xml:space="preserve">1265464 607,70 </w:t>
            </w:r>
          </w:p>
        </w:tc>
        <w:tc>
          <w:tcPr>
            <w:tcW w:w="2126" w:type="dxa"/>
            <w:shd w:val="clear" w:color="auto" w:fill="auto"/>
            <w:vAlign w:val="center"/>
          </w:tcPr>
          <w:p w14:paraId="35315FF6">
            <w:pPr>
              <w:spacing w:after="0" w:line="240" w:lineRule="auto"/>
              <w:jc w:val="center"/>
              <w:textAlignment w:val="top"/>
              <w:rPr>
                <w:rFonts w:ascii="Times New Roman" w:hAnsi="Times New Roman" w:cs="Times New Roman"/>
                <w:b/>
                <w:bCs/>
                <w:highlight w:val="yellow"/>
              </w:rPr>
            </w:pPr>
            <w:r>
              <w:rPr>
                <w:rFonts w:ascii="Times New Roman" w:hAnsi="Times New Roman" w:eastAsia="SimSun" w:cs="Times New Roman"/>
                <w:b/>
                <w:bCs/>
                <w:color w:val="000000"/>
                <w:lang w:eastAsia="zh-CN" w:bidi="ar"/>
              </w:rPr>
              <w:t xml:space="preserve">1275323 899,72 </w:t>
            </w:r>
          </w:p>
        </w:tc>
        <w:tc>
          <w:tcPr>
            <w:tcW w:w="1819" w:type="dxa"/>
            <w:shd w:val="clear" w:color="auto" w:fill="auto"/>
            <w:vAlign w:val="center"/>
          </w:tcPr>
          <w:p w14:paraId="5E21E724">
            <w:pPr>
              <w:spacing w:after="0" w:line="240" w:lineRule="auto"/>
              <w:jc w:val="center"/>
              <w:textAlignment w:val="top"/>
              <w:rPr>
                <w:rFonts w:ascii="Times New Roman" w:hAnsi="Times New Roman" w:eastAsia="SimSun" w:cs="Times New Roman"/>
                <w:b/>
                <w:bCs/>
                <w:color w:val="000000"/>
                <w:highlight w:val="yellow"/>
                <w:lang w:eastAsia="zh-CN" w:bidi="ar"/>
              </w:rPr>
            </w:pPr>
            <w:r>
              <w:rPr>
                <w:rFonts w:ascii="Times New Roman" w:hAnsi="Times New Roman" w:eastAsia="SimSun" w:cs="Times New Roman"/>
                <w:b/>
                <w:bCs/>
                <w:color w:val="000000"/>
                <w:lang w:eastAsia="zh-CN" w:bidi="ar"/>
              </w:rPr>
              <w:t xml:space="preserve">9859 292,02 </w:t>
            </w:r>
          </w:p>
        </w:tc>
      </w:tr>
      <w:tr w14:paraId="50670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864" w:type="dxa"/>
            <w:shd w:val="clear" w:color="auto" w:fill="auto"/>
            <w:vAlign w:val="center"/>
          </w:tcPr>
          <w:p w14:paraId="187A33AD">
            <w:pPr>
              <w:spacing w:after="0" w:line="240" w:lineRule="auto"/>
              <w:jc w:val="center"/>
              <w:textAlignment w:val="center"/>
              <w:rPr>
                <w:rFonts w:ascii="Times New Roman" w:hAnsi="Times New Roman" w:cs="Times New Roman"/>
                <w:highlight w:val="yellow"/>
              </w:rPr>
            </w:pPr>
            <w:r>
              <w:rPr>
                <w:rFonts w:ascii="Times New Roman" w:hAnsi="Times New Roman" w:eastAsia="SimSun" w:cs="Times New Roman"/>
                <w:color w:val="000000"/>
                <w:lang w:eastAsia="zh-CN" w:bidi="ar"/>
              </w:rPr>
              <w:t>0701</w:t>
            </w:r>
          </w:p>
        </w:tc>
        <w:tc>
          <w:tcPr>
            <w:tcW w:w="3667" w:type="dxa"/>
            <w:shd w:val="clear" w:color="auto" w:fill="auto"/>
            <w:vAlign w:val="center"/>
          </w:tcPr>
          <w:p w14:paraId="45762985">
            <w:pPr>
              <w:spacing w:after="0" w:line="240" w:lineRule="auto"/>
              <w:textAlignment w:val="center"/>
              <w:rPr>
                <w:rFonts w:ascii="Times New Roman" w:hAnsi="Times New Roman" w:cs="Times New Roman"/>
                <w:highlight w:val="yellow"/>
              </w:rPr>
            </w:pPr>
            <w:r>
              <w:rPr>
                <w:rFonts w:ascii="Times New Roman" w:hAnsi="Times New Roman" w:eastAsia="SimSun" w:cs="Times New Roman"/>
                <w:color w:val="000000"/>
                <w:lang w:eastAsia="zh-CN" w:bidi="ar"/>
              </w:rPr>
              <w:t>Дошкольное образование</w:t>
            </w:r>
          </w:p>
        </w:tc>
        <w:tc>
          <w:tcPr>
            <w:tcW w:w="1843" w:type="dxa"/>
            <w:shd w:val="clear" w:color="auto" w:fill="auto"/>
            <w:vAlign w:val="center"/>
          </w:tcPr>
          <w:p w14:paraId="0E050FD0">
            <w:pPr>
              <w:spacing w:after="0" w:line="240" w:lineRule="auto"/>
              <w:jc w:val="center"/>
              <w:textAlignment w:val="center"/>
              <w:rPr>
                <w:rFonts w:ascii="Times New Roman" w:hAnsi="Times New Roman" w:cs="Times New Roman"/>
                <w:highlight w:val="yellow"/>
              </w:rPr>
            </w:pPr>
            <w:r>
              <w:rPr>
                <w:rFonts w:ascii="Times New Roman" w:hAnsi="Times New Roman" w:eastAsia="SimSun" w:cs="Times New Roman"/>
                <w:color w:val="000000"/>
                <w:lang w:eastAsia="zh-CN" w:bidi="ar"/>
              </w:rPr>
              <w:t>422910 104,</w:t>
            </w:r>
            <w:r>
              <w:rPr>
                <w:rFonts w:ascii="Times New Roman" w:hAnsi="Times New Roman" w:eastAsia="SimSun" w:cs="Times New Roman"/>
                <w:color w:val="000000"/>
                <w:lang w:val="en-US" w:eastAsia="zh-CN" w:bidi="ar"/>
              </w:rPr>
              <w:t xml:space="preserve">11 </w:t>
            </w:r>
          </w:p>
        </w:tc>
        <w:tc>
          <w:tcPr>
            <w:tcW w:w="2126" w:type="dxa"/>
            <w:shd w:val="clear" w:color="auto" w:fill="auto"/>
            <w:vAlign w:val="center"/>
          </w:tcPr>
          <w:p w14:paraId="18F994D6">
            <w:pPr>
              <w:spacing w:after="0" w:line="240" w:lineRule="auto"/>
              <w:jc w:val="center"/>
              <w:textAlignment w:val="center"/>
              <w:rPr>
                <w:rFonts w:ascii="Times New Roman" w:hAnsi="Times New Roman" w:cs="Times New Roman"/>
                <w:highlight w:val="yellow"/>
              </w:rPr>
            </w:pPr>
            <w:r>
              <w:rPr>
                <w:rFonts w:ascii="Times New Roman" w:hAnsi="Times New Roman" w:eastAsia="SimSun" w:cs="Times New Roman"/>
                <w:color w:val="000000"/>
                <w:lang w:val="en-US" w:eastAsia="zh-CN" w:bidi="ar"/>
              </w:rPr>
              <w:t xml:space="preserve">425361 007,15 </w:t>
            </w:r>
          </w:p>
        </w:tc>
        <w:tc>
          <w:tcPr>
            <w:tcW w:w="1819" w:type="dxa"/>
            <w:shd w:val="clear" w:color="auto" w:fill="auto"/>
            <w:vAlign w:val="center"/>
          </w:tcPr>
          <w:p w14:paraId="6B941DEA">
            <w:pPr>
              <w:spacing w:after="0" w:line="240" w:lineRule="auto"/>
              <w:jc w:val="center"/>
              <w:textAlignment w:val="center"/>
              <w:rPr>
                <w:rFonts w:ascii="Times New Roman" w:hAnsi="Times New Roman" w:cs="Times New Roman"/>
                <w:highlight w:val="yellow"/>
              </w:rPr>
            </w:pPr>
            <w:r>
              <w:rPr>
                <w:rFonts w:ascii="Times New Roman" w:hAnsi="Times New Roman" w:eastAsia="SimSun" w:cs="Times New Roman"/>
                <w:color w:val="000000"/>
                <w:lang w:val="en-US" w:eastAsia="zh-CN" w:bidi="ar"/>
              </w:rPr>
              <w:t xml:space="preserve">2450 903,04 </w:t>
            </w:r>
          </w:p>
        </w:tc>
      </w:tr>
      <w:tr w14:paraId="1519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exact"/>
          <w:jc w:val="center"/>
        </w:trPr>
        <w:tc>
          <w:tcPr>
            <w:tcW w:w="864" w:type="dxa"/>
            <w:shd w:val="clear" w:color="auto" w:fill="auto"/>
            <w:vAlign w:val="center"/>
          </w:tcPr>
          <w:p w14:paraId="5A4938DB">
            <w:pPr>
              <w:spacing w:after="0" w:line="240" w:lineRule="auto"/>
              <w:jc w:val="center"/>
              <w:textAlignment w:val="center"/>
              <w:rPr>
                <w:rFonts w:ascii="Times New Roman" w:hAnsi="Times New Roman" w:cs="Times New Roman"/>
                <w:highlight w:val="yellow"/>
              </w:rPr>
            </w:pPr>
            <w:r>
              <w:rPr>
                <w:rFonts w:ascii="Times New Roman" w:hAnsi="Times New Roman" w:eastAsia="SimSun" w:cs="Times New Roman"/>
                <w:color w:val="000000"/>
                <w:lang w:val="en-US" w:eastAsia="zh-CN" w:bidi="ar"/>
              </w:rPr>
              <w:t>0702</w:t>
            </w:r>
          </w:p>
        </w:tc>
        <w:tc>
          <w:tcPr>
            <w:tcW w:w="3667" w:type="dxa"/>
            <w:shd w:val="clear" w:color="auto" w:fill="auto"/>
            <w:vAlign w:val="center"/>
          </w:tcPr>
          <w:p w14:paraId="1F635D91">
            <w:pPr>
              <w:spacing w:after="0" w:line="240" w:lineRule="auto"/>
              <w:textAlignment w:val="center"/>
              <w:rPr>
                <w:rFonts w:ascii="Times New Roman" w:hAnsi="Times New Roman" w:cs="Times New Roman"/>
                <w:highlight w:val="yellow"/>
              </w:rPr>
            </w:pPr>
            <w:r>
              <w:rPr>
                <w:rFonts w:ascii="Times New Roman" w:hAnsi="Times New Roman" w:eastAsia="SimSun" w:cs="Times New Roman"/>
                <w:color w:val="000000"/>
                <w:lang w:val="en-US" w:eastAsia="zh-CN" w:bidi="ar"/>
              </w:rPr>
              <w:t>Общее образование</w:t>
            </w:r>
          </w:p>
        </w:tc>
        <w:tc>
          <w:tcPr>
            <w:tcW w:w="1843" w:type="dxa"/>
            <w:shd w:val="clear" w:color="auto" w:fill="auto"/>
            <w:vAlign w:val="center"/>
          </w:tcPr>
          <w:p w14:paraId="081FF9BC">
            <w:pPr>
              <w:spacing w:after="0" w:line="240" w:lineRule="auto"/>
              <w:jc w:val="center"/>
              <w:textAlignment w:val="center"/>
              <w:rPr>
                <w:rFonts w:ascii="Times New Roman" w:hAnsi="Times New Roman" w:cs="Times New Roman"/>
                <w:highlight w:val="yellow"/>
              </w:rPr>
            </w:pPr>
            <w:r>
              <w:rPr>
                <w:rFonts w:ascii="Times New Roman" w:hAnsi="Times New Roman" w:eastAsia="SimSun" w:cs="Times New Roman"/>
                <w:color w:val="000000"/>
                <w:lang w:val="en-US" w:eastAsia="zh-CN" w:bidi="ar"/>
              </w:rPr>
              <w:t xml:space="preserve">691338 214,58 </w:t>
            </w:r>
          </w:p>
        </w:tc>
        <w:tc>
          <w:tcPr>
            <w:tcW w:w="2126" w:type="dxa"/>
            <w:shd w:val="clear" w:color="auto" w:fill="auto"/>
            <w:vAlign w:val="center"/>
          </w:tcPr>
          <w:p w14:paraId="6275EB5F">
            <w:pPr>
              <w:spacing w:after="0" w:line="240" w:lineRule="auto"/>
              <w:jc w:val="center"/>
              <w:textAlignment w:val="center"/>
              <w:rPr>
                <w:rFonts w:ascii="Times New Roman" w:hAnsi="Times New Roman" w:cs="Times New Roman"/>
                <w:highlight w:val="yellow"/>
              </w:rPr>
            </w:pPr>
            <w:r>
              <w:rPr>
                <w:rFonts w:ascii="Times New Roman" w:hAnsi="Times New Roman" w:eastAsia="SimSun" w:cs="Times New Roman"/>
                <w:color w:val="000000"/>
                <w:lang w:val="en-US" w:eastAsia="zh-CN" w:bidi="ar"/>
              </w:rPr>
              <w:t xml:space="preserve">698150 245,60 </w:t>
            </w:r>
          </w:p>
        </w:tc>
        <w:tc>
          <w:tcPr>
            <w:tcW w:w="1819" w:type="dxa"/>
            <w:shd w:val="clear" w:color="auto" w:fill="auto"/>
            <w:vAlign w:val="center"/>
          </w:tcPr>
          <w:p w14:paraId="383E1A9F">
            <w:pPr>
              <w:spacing w:after="0" w:line="240" w:lineRule="auto"/>
              <w:jc w:val="center"/>
              <w:textAlignment w:val="center"/>
              <w:rPr>
                <w:rFonts w:ascii="Times New Roman" w:hAnsi="Times New Roman" w:cs="Times New Roman"/>
                <w:highlight w:val="yellow"/>
              </w:rPr>
            </w:pPr>
            <w:r>
              <w:rPr>
                <w:rFonts w:ascii="Times New Roman" w:hAnsi="Times New Roman" w:eastAsia="SimSun" w:cs="Times New Roman"/>
                <w:color w:val="000000"/>
                <w:lang w:val="en-US" w:eastAsia="zh-CN" w:bidi="ar"/>
              </w:rPr>
              <w:t xml:space="preserve">6812 031,02 </w:t>
            </w:r>
          </w:p>
        </w:tc>
      </w:tr>
      <w:tr w14:paraId="64E31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exact"/>
          <w:jc w:val="center"/>
        </w:trPr>
        <w:tc>
          <w:tcPr>
            <w:tcW w:w="864" w:type="dxa"/>
            <w:shd w:val="clear" w:color="auto" w:fill="auto"/>
            <w:vAlign w:val="center"/>
          </w:tcPr>
          <w:p w14:paraId="0F3F6F28">
            <w:pPr>
              <w:spacing w:after="0" w:line="240" w:lineRule="auto"/>
              <w:jc w:val="center"/>
              <w:textAlignment w:val="center"/>
              <w:rPr>
                <w:rFonts w:ascii="Times New Roman" w:hAnsi="Times New Roman" w:cs="Times New Roman"/>
                <w:highlight w:val="yellow"/>
              </w:rPr>
            </w:pPr>
            <w:r>
              <w:rPr>
                <w:rFonts w:ascii="Times New Roman" w:hAnsi="Times New Roman" w:eastAsia="SimSun" w:cs="Times New Roman"/>
                <w:color w:val="000000"/>
                <w:lang w:val="en-US" w:eastAsia="zh-CN" w:bidi="ar"/>
              </w:rPr>
              <w:t>0703</w:t>
            </w:r>
          </w:p>
        </w:tc>
        <w:tc>
          <w:tcPr>
            <w:tcW w:w="3667" w:type="dxa"/>
            <w:shd w:val="clear" w:color="auto" w:fill="auto"/>
            <w:vAlign w:val="center"/>
          </w:tcPr>
          <w:p w14:paraId="080AC5AB">
            <w:pPr>
              <w:spacing w:after="0" w:line="240" w:lineRule="auto"/>
              <w:textAlignment w:val="center"/>
              <w:rPr>
                <w:rFonts w:ascii="Times New Roman" w:hAnsi="Times New Roman" w:cs="Times New Roman"/>
                <w:highlight w:val="yellow"/>
              </w:rPr>
            </w:pPr>
            <w:r>
              <w:rPr>
                <w:rFonts w:ascii="Times New Roman" w:hAnsi="Times New Roman" w:eastAsia="SimSun" w:cs="Times New Roman"/>
                <w:color w:val="000000"/>
                <w:lang w:val="en-US" w:eastAsia="zh-CN" w:bidi="ar"/>
              </w:rPr>
              <w:t>Дополнительное образование детей</w:t>
            </w:r>
          </w:p>
        </w:tc>
        <w:tc>
          <w:tcPr>
            <w:tcW w:w="1843" w:type="dxa"/>
            <w:shd w:val="clear" w:color="auto" w:fill="auto"/>
            <w:vAlign w:val="center"/>
          </w:tcPr>
          <w:p w14:paraId="1472788E">
            <w:pPr>
              <w:spacing w:after="0" w:line="240" w:lineRule="auto"/>
              <w:jc w:val="center"/>
              <w:textAlignment w:val="center"/>
              <w:rPr>
                <w:rFonts w:ascii="Times New Roman" w:hAnsi="Times New Roman" w:cs="Times New Roman"/>
                <w:highlight w:val="yellow"/>
              </w:rPr>
            </w:pPr>
            <w:r>
              <w:rPr>
                <w:rFonts w:ascii="Times New Roman" w:hAnsi="Times New Roman" w:eastAsia="SimSun" w:cs="Times New Roman"/>
                <w:color w:val="000000"/>
                <w:lang w:val="en-US" w:eastAsia="zh-CN" w:bidi="ar"/>
              </w:rPr>
              <w:t xml:space="preserve">115564 418,77 </w:t>
            </w:r>
          </w:p>
        </w:tc>
        <w:tc>
          <w:tcPr>
            <w:tcW w:w="2126" w:type="dxa"/>
            <w:shd w:val="clear" w:color="auto" w:fill="auto"/>
            <w:vAlign w:val="center"/>
          </w:tcPr>
          <w:p w14:paraId="6E3FC81F">
            <w:pPr>
              <w:spacing w:after="0" w:line="240" w:lineRule="auto"/>
              <w:jc w:val="center"/>
              <w:textAlignment w:val="center"/>
              <w:rPr>
                <w:rFonts w:ascii="Times New Roman" w:hAnsi="Times New Roman" w:cs="Times New Roman"/>
                <w:highlight w:val="yellow"/>
              </w:rPr>
            </w:pPr>
            <w:r>
              <w:rPr>
                <w:rFonts w:ascii="Times New Roman" w:hAnsi="Times New Roman" w:eastAsia="SimSun" w:cs="Times New Roman"/>
                <w:color w:val="000000"/>
                <w:lang w:val="en-US" w:eastAsia="zh-CN" w:bidi="ar"/>
              </w:rPr>
              <w:t xml:space="preserve">115435 200,61 </w:t>
            </w:r>
          </w:p>
        </w:tc>
        <w:tc>
          <w:tcPr>
            <w:tcW w:w="1819" w:type="dxa"/>
            <w:shd w:val="clear" w:color="auto" w:fill="auto"/>
            <w:vAlign w:val="center"/>
          </w:tcPr>
          <w:p w14:paraId="326F0788">
            <w:pPr>
              <w:spacing w:after="0" w:line="240" w:lineRule="auto"/>
              <w:jc w:val="center"/>
              <w:textAlignment w:val="center"/>
              <w:rPr>
                <w:rFonts w:ascii="Times New Roman" w:hAnsi="Times New Roman" w:cs="Times New Roman"/>
                <w:highlight w:val="yellow"/>
              </w:rPr>
            </w:pPr>
            <w:r>
              <w:rPr>
                <w:rFonts w:ascii="Times New Roman" w:hAnsi="Times New Roman" w:eastAsia="SimSun" w:cs="Times New Roman"/>
                <w:color w:val="000000"/>
                <w:lang w:val="en-US" w:eastAsia="zh-CN" w:bidi="ar"/>
              </w:rPr>
              <w:t xml:space="preserve">-129 218,16 </w:t>
            </w:r>
          </w:p>
        </w:tc>
      </w:tr>
      <w:tr w14:paraId="5BC86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jc w:val="center"/>
        </w:trPr>
        <w:tc>
          <w:tcPr>
            <w:tcW w:w="864" w:type="dxa"/>
            <w:shd w:val="clear" w:color="auto" w:fill="auto"/>
            <w:vAlign w:val="center"/>
          </w:tcPr>
          <w:p w14:paraId="527B3721">
            <w:pPr>
              <w:spacing w:after="0" w:line="240" w:lineRule="auto"/>
              <w:jc w:val="center"/>
              <w:textAlignment w:val="center"/>
              <w:rPr>
                <w:rFonts w:ascii="Times New Roman" w:hAnsi="Times New Roman" w:cs="Times New Roman"/>
                <w:highlight w:val="yellow"/>
              </w:rPr>
            </w:pPr>
            <w:r>
              <w:rPr>
                <w:rFonts w:ascii="Times New Roman" w:hAnsi="Times New Roman" w:eastAsia="SimSun" w:cs="Times New Roman"/>
                <w:color w:val="000000"/>
                <w:lang w:val="en-US" w:eastAsia="zh-CN" w:bidi="ar"/>
              </w:rPr>
              <w:t>0707</w:t>
            </w:r>
          </w:p>
        </w:tc>
        <w:tc>
          <w:tcPr>
            <w:tcW w:w="3667" w:type="dxa"/>
            <w:shd w:val="clear" w:color="auto" w:fill="auto"/>
            <w:vAlign w:val="center"/>
          </w:tcPr>
          <w:p w14:paraId="2DB8E197">
            <w:pPr>
              <w:spacing w:after="0" w:line="240" w:lineRule="auto"/>
              <w:textAlignment w:val="center"/>
              <w:rPr>
                <w:rFonts w:ascii="Times New Roman" w:hAnsi="Times New Roman" w:cs="Times New Roman"/>
                <w:highlight w:val="yellow"/>
              </w:rPr>
            </w:pPr>
            <w:r>
              <w:rPr>
                <w:rFonts w:ascii="Times New Roman" w:hAnsi="Times New Roman" w:eastAsia="SimSun" w:cs="Times New Roman"/>
                <w:color w:val="000000"/>
                <w:lang w:val="en-US" w:eastAsia="zh-CN" w:bidi="ar"/>
              </w:rPr>
              <w:t>Молодежная политика</w:t>
            </w:r>
          </w:p>
        </w:tc>
        <w:tc>
          <w:tcPr>
            <w:tcW w:w="1843" w:type="dxa"/>
            <w:shd w:val="clear" w:color="auto" w:fill="auto"/>
            <w:vAlign w:val="center"/>
          </w:tcPr>
          <w:p w14:paraId="2B33F717">
            <w:pPr>
              <w:spacing w:after="0" w:line="240" w:lineRule="auto"/>
              <w:jc w:val="center"/>
              <w:textAlignment w:val="center"/>
              <w:rPr>
                <w:rFonts w:ascii="Times New Roman" w:hAnsi="Times New Roman" w:cs="Times New Roman"/>
                <w:highlight w:val="yellow"/>
              </w:rPr>
            </w:pPr>
            <w:r>
              <w:rPr>
                <w:rFonts w:ascii="Times New Roman" w:hAnsi="Times New Roman" w:eastAsia="SimSun" w:cs="Times New Roman"/>
                <w:color w:val="000000"/>
                <w:lang w:val="en-US" w:eastAsia="zh-CN" w:bidi="ar"/>
              </w:rPr>
              <w:t xml:space="preserve">8102 227,42 </w:t>
            </w:r>
          </w:p>
        </w:tc>
        <w:tc>
          <w:tcPr>
            <w:tcW w:w="2126" w:type="dxa"/>
            <w:shd w:val="clear" w:color="auto" w:fill="auto"/>
            <w:vAlign w:val="center"/>
          </w:tcPr>
          <w:p w14:paraId="2FD4B49C">
            <w:pPr>
              <w:spacing w:after="0" w:line="240" w:lineRule="auto"/>
              <w:jc w:val="center"/>
              <w:textAlignment w:val="center"/>
              <w:rPr>
                <w:rFonts w:ascii="Times New Roman" w:hAnsi="Times New Roman" w:cs="Times New Roman"/>
                <w:highlight w:val="yellow"/>
              </w:rPr>
            </w:pPr>
            <w:r>
              <w:rPr>
                <w:rFonts w:ascii="Times New Roman" w:hAnsi="Times New Roman" w:eastAsia="SimSun" w:cs="Times New Roman"/>
                <w:color w:val="000000"/>
                <w:lang w:val="en-US" w:eastAsia="zh-CN" w:bidi="ar"/>
              </w:rPr>
              <w:t xml:space="preserve">8102 227,42 </w:t>
            </w:r>
          </w:p>
        </w:tc>
        <w:tc>
          <w:tcPr>
            <w:tcW w:w="1819" w:type="dxa"/>
            <w:shd w:val="clear" w:color="auto" w:fill="auto"/>
            <w:vAlign w:val="center"/>
          </w:tcPr>
          <w:p w14:paraId="76D57D3B">
            <w:pPr>
              <w:spacing w:after="0" w:line="240" w:lineRule="auto"/>
              <w:jc w:val="center"/>
              <w:textAlignment w:val="center"/>
              <w:rPr>
                <w:rFonts w:ascii="Times New Roman" w:hAnsi="Times New Roman" w:cs="Times New Roman"/>
                <w:highlight w:val="yellow"/>
              </w:rPr>
            </w:pPr>
            <w:r>
              <w:rPr>
                <w:rFonts w:ascii="Times New Roman" w:hAnsi="Times New Roman" w:eastAsia="SimSun" w:cs="Times New Roman"/>
                <w:color w:val="000000"/>
                <w:lang w:val="en-US" w:eastAsia="zh-CN" w:bidi="ar"/>
              </w:rPr>
              <w:t xml:space="preserve"> 0,00 </w:t>
            </w:r>
          </w:p>
        </w:tc>
      </w:tr>
      <w:tr w14:paraId="3629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exact"/>
          <w:jc w:val="center"/>
        </w:trPr>
        <w:tc>
          <w:tcPr>
            <w:tcW w:w="864" w:type="dxa"/>
            <w:shd w:val="clear" w:color="auto" w:fill="auto"/>
            <w:vAlign w:val="center"/>
          </w:tcPr>
          <w:p w14:paraId="26CF609E">
            <w:pPr>
              <w:spacing w:after="0" w:line="240" w:lineRule="auto"/>
              <w:jc w:val="center"/>
              <w:textAlignment w:val="center"/>
              <w:rPr>
                <w:rFonts w:ascii="Times New Roman" w:hAnsi="Times New Roman" w:cs="Times New Roman"/>
                <w:highlight w:val="yellow"/>
              </w:rPr>
            </w:pPr>
            <w:r>
              <w:rPr>
                <w:rFonts w:ascii="Times New Roman" w:hAnsi="Times New Roman" w:eastAsia="SimSun" w:cs="Times New Roman"/>
                <w:color w:val="000000"/>
                <w:lang w:val="en-US" w:eastAsia="zh-CN" w:bidi="ar"/>
              </w:rPr>
              <w:t>0709</w:t>
            </w:r>
          </w:p>
        </w:tc>
        <w:tc>
          <w:tcPr>
            <w:tcW w:w="3667" w:type="dxa"/>
            <w:shd w:val="clear" w:color="auto" w:fill="auto"/>
            <w:vAlign w:val="center"/>
          </w:tcPr>
          <w:p w14:paraId="4E2DDAC8">
            <w:pPr>
              <w:spacing w:after="0" w:line="240" w:lineRule="auto"/>
              <w:textAlignment w:val="center"/>
              <w:rPr>
                <w:rFonts w:ascii="Times New Roman" w:hAnsi="Times New Roman" w:cs="Times New Roman"/>
                <w:highlight w:val="yellow"/>
              </w:rPr>
            </w:pPr>
            <w:r>
              <w:rPr>
                <w:rFonts w:ascii="Times New Roman" w:hAnsi="Times New Roman" w:eastAsia="SimSun" w:cs="Times New Roman"/>
                <w:color w:val="000000"/>
                <w:lang w:eastAsia="zh-CN" w:bidi="ar"/>
              </w:rPr>
              <w:t>Другие вопросы в области образования</w:t>
            </w:r>
          </w:p>
        </w:tc>
        <w:tc>
          <w:tcPr>
            <w:tcW w:w="1843" w:type="dxa"/>
            <w:shd w:val="clear" w:color="auto" w:fill="auto"/>
            <w:vAlign w:val="center"/>
          </w:tcPr>
          <w:p w14:paraId="284DC64D">
            <w:pPr>
              <w:spacing w:after="0" w:line="240" w:lineRule="auto"/>
              <w:jc w:val="center"/>
              <w:textAlignment w:val="center"/>
              <w:rPr>
                <w:rFonts w:ascii="Times New Roman" w:hAnsi="Times New Roman" w:cs="Times New Roman"/>
                <w:highlight w:val="yellow"/>
              </w:rPr>
            </w:pPr>
            <w:r>
              <w:rPr>
                <w:rFonts w:ascii="Times New Roman" w:hAnsi="Times New Roman" w:eastAsia="SimSun" w:cs="Times New Roman"/>
                <w:color w:val="000000"/>
                <w:lang w:val="en-US" w:eastAsia="zh-CN" w:bidi="ar"/>
              </w:rPr>
              <w:t xml:space="preserve">24477 042,82 </w:t>
            </w:r>
          </w:p>
        </w:tc>
        <w:tc>
          <w:tcPr>
            <w:tcW w:w="2126" w:type="dxa"/>
            <w:shd w:val="clear" w:color="auto" w:fill="auto"/>
            <w:vAlign w:val="center"/>
          </w:tcPr>
          <w:p w14:paraId="4287BFFF">
            <w:pPr>
              <w:spacing w:after="0" w:line="240" w:lineRule="auto"/>
              <w:jc w:val="center"/>
              <w:textAlignment w:val="center"/>
              <w:rPr>
                <w:rFonts w:ascii="Times New Roman" w:hAnsi="Times New Roman" w:cs="Times New Roman"/>
                <w:highlight w:val="yellow"/>
              </w:rPr>
            </w:pPr>
            <w:r>
              <w:rPr>
                <w:rFonts w:ascii="Times New Roman" w:hAnsi="Times New Roman" w:eastAsia="SimSun" w:cs="Times New Roman"/>
                <w:color w:val="000000"/>
                <w:lang w:val="en-US" w:eastAsia="zh-CN" w:bidi="ar"/>
              </w:rPr>
              <w:t xml:space="preserve">24787 042,82 </w:t>
            </w:r>
          </w:p>
        </w:tc>
        <w:tc>
          <w:tcPr>
            <w:tcW w:w="1819" w:type="dxa"/>
            <w:shd w:val="clear" w:color="auto" w:fill="auto"/>
            <w:vAlign w:val="center"/>
          </w:tcPr>
          <w:p w14:paraId="2DD69909">
            <w:pPr>
              <w:spacing w:after="0" w:line="240" w:lineRule="auto"/>
              <w:jc w:val="center"/>
              <w:textAlignment w:val="center"/>
              <w:rPr>
                <w:rFonts w:ascii="Times New Roman" w:hAnsi="Times New Roman" w:cs="Times New Roman"/>
                <w:highlight w:val="yellow"/>
              </w:rPr>
            </w:pPr>
            <w:r>
              <w:rPr>
                <w:rFonts w:ascii="Times New Roman" w:hAnsi="Times New Roman" w:eastAsia="SimSun" w:cs="Times New Roman"/>
                <w:color w:val="000000"/>
                <w:lang w:val="en-US" w:eastAsia="zh-CN" w:bidi="ar"/>
              </w:rPr>
              <w:t xml:space="preserve">310 000,00 </w:t>
            </w:r>
          </w:p>
        </w:tc>
      </w:tr>
      <w:tr w14:paraId="40503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exact"/>
          <w:jc w:val="center"/>
        </w:trPr>
        <w:tc>
          <w:tcPr>
            <w:tcW w:w="864" w:type="dxa"/>
            <w:shd w:val="clear" w:color="auto" w:fill="auto"/>
            <w:vAlign w:val="center"/>
          </w:tcPr>
          <w:p w14:paraId="2A16E122">
            <w:pPr>
              <w:spacing w:after="0" w:line="240" w:lineRule="auto"/>
              <w:jc w:val="center"/>
              <w:textAlignment w:val="center"/>
              <w:rPr>
                <w:rFonts w:ascii="Times New Roman" w:hAnsi="Times New Roman" w:eastAsia="SimSun" w:cs="Times New Roman"/>
                <w:color w:val="000000"/>
                <w:highlight w:val="yellow"/>
                <w:lang w:val="en-US" w:eastAsia="zh-CN" w:bidi="ar"/>
              </w:rPr>
            </w:pPr>
            <w:r>
              <w:rPr>
                <w:rFonts w:ascii="Times New Roman" w:hAnsi="Times New Roman" w:eastAsia="SimSun" w:cs="Times New Roman"/>
                <w:color w:val="000000"/>
                <w:lang w:val="en-US" w:eastAsia="zh-CN" w:bidi="ar"/>
              </w:rPr>
              <w:t>1004</w:t>
            </w:r>
          </w:p>
        </w:tc>
        <w:tc>
          <w:tcPr>
            <w:tcW w:w="3667" w:type="dxa"/>
            <w:shd w:val="clear" w:color="auto" w:fill="auto"/>
            <w:vAlign w:val="center"/>
          </w:tcPr>
          <w:p w14:paraId="6FA602DC">
            <w:pPr>
              <w:spacing w:after="0" w:line="240" w:lineRule="auto"/>
              <w:textAlignment w:val="center"/>
              <w:rPr>
                <w:rFonts w:ascii="Times New Roman" w:hAnsi="Times New Roman" w:eastAsia="SimSun" w:cs="Times New Roman"/>
                <w:color w:val="000000"/>
                <w:highlight w:val="yellow"/>
                <w:lang w:eastAsia="zh-CN" w:bidi="ar"/>
              </w:rPr>
            </w:pPr>
            <w:r>
              <w:rPr>
                <w:rFonts w:ascii="Times New Roman" w:hAnsi="Times New Roman" w:eastAsia="SimSun" w:cs="Times New Roman"/>
                <w:color w:val="000000"/>
                <w:lang w:val="en-US" w:eastAsia="zh-CN" w:bidi="ar"/>
              </w:rPr>
              <w:t>Охрана семьи и детства</w:t>
            </w:r>
          </w:p>
        </w:tc>
        <w:tc>
          <w:tcPr>
            <w:tcW w:w="1843" w:type="dxa"/>
            <w:tcBorders>
              <w:bottom w:val="single" w:color="auto" w:sz="4" w:space="0"/>
            </w:tcBorders>
            <w:shd w:val="clear" w:color="auto" w:fill="auto"/>
            <w:vAlign w:val="center"/>
          </w:tcPr>
          <w:p w14:paraId="6312FA96">
            <w:pPr>
              <w:spacing w:after="0" w:line="240" w:lineRule="auto"/>
              <w:jc w:val="center"/>
              <w:textAlignment w:val="center"/>
              <w:rPr>
                <w:rFonts w:ascii="Times New Roman" w:hAnsi="Times New Roman" w:eastAsia="SimSun" w:cs="Times New Roman"/>
                <w:color w:val="000000"/>
                <w:highlight w:val="yellow"/>
                <w:lang w:val="en-US" w:eastAsia="zh-CN" w:bidi="ar"/>
              </w:rPr>
            </w:pPr>
            <w:r>
              <w:rPr>
                <w:rFonts w:ascii="Times New Roman" w:hAnsi="Times New Roman" w:eastAsia="SimSun" w:cs="Times New Roman"/>
                <w:color w:val="000000"/>
                <w:lang w:val="en-US" w:eastAsia="zh-CN" w:bidi="ar"/>
              </w:rPr>
              <w:t xml:space="preserve">3072 600,00 </w:t>
            </w:r>
          </w:p>
        </w:tc>
        <w:tc>
          <w:tcPr>
            <w:tcW w:w="2126" w:type="dxa"/>
            <w:tcBorders>
              <w:bottom w:val="single" w:color="auto" w:sz="4" w:space="0"/>
            </w:tcBorders>
            <w:shd w:val="clear" w:color="auto" w:fill="auto"/>
            <w:vAlign w:val="center"/>
          </w:tcPr>
          <w:p w14:paraId="70C490F1">
            <w:pPr>
              <w:spacing w:after="0" w:line="240" w:lineRule="auto"/>
              <w:jc w:val="center"/>
              <w:textAlignment w:val="center"/>
              <w:rPr>
                <w:rFonts w:ascii="Times New Roman" w:hAnsi="Times New Roman" w:eastAsia="SimSun" w:cs="Times New Roman"/>
                <w:color w:val="000000"/>
                <w:highlight w:val="yellow"/>
                <w:lang w:eastAsia="zh-CN" w:bidi="ar"/>
              </w:rPr>
            </w:pPr>
            <w:r>
              <w:rPr>
                <w:rFonts w:ascii="Times New Roman" w:hAnsi="Times New Roman" w:eastAsia="SimSun" w:cs="Times New Roman"/>
                <w:color w:val="000000"/>
                <w:lang w:val="en-US" w:eastAsia="zh-CN" w:bidi="ar"/>
              </w:rPr>
              <w:t xml:space="preserve">3488 176,12 </w:t>
            </w:r>
          </w:p>
        </w:tc>
        <w:tc>
          <w:tcPr>
            <w:tcW w:w="1819" w:type="dxa"/>
            <w:tcBorders>
              <w:bottom w:val="single" w:color="auto" w:sz="4" w:space="0"/>
            </w:tcBorders>
            <w:shd w:val="clear" w:color="auto" w:fill="auto"/>
            <w:vAlign w:val="center"/>
          </w:tcPr>
          <w:p w14:paraId="703CB3BF">
            <w:pPr>
              <w:spacing w:after="0" w:line="240" w:lineRule="auto"/>
              <w:jc w:val="center"/>
              <w:textAlignment w:val="center"/>
              <w:rPr>
                <w:rFonts w:ascii="Times New Roman" w:hAnsi="Times New Roman" w:cs="Times New Roman"/>
                <w:highlight w:val="yellow"/>
              </w:rPr>
            </w:pPr>
            <w:r>
              <w:rPr>
                <w:rFonts w:ascii="Times New Roman" w:hAnsi="Times New Roman" w:eastAsia="SimSun" w:cs="Times New Roman"/>
                <w:color w:val="000000"/>
                <w:lang w:val="en-US" w:eastAsia="zh-CN" w:bidi="ar"/>
              </w:rPr>
              <w:t xml:space="preserve">415 576,12 </w:t>
            </w:r>
          </w:p>
        </w:tc>
      </w:tr>
    </w:tbl>
    <w:p w14:paraId="184B2718">
      <w:pPr>
        <w:spacing w:before="120"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В соответствии с представленной бухгалтерской отчетностью доходы, администрируемые Управлением </w:t>
      </w:r>
      <w:r>
        <w:rPr>
          <w:rFonts w:ascii="Times New Roman" w:hAnsi="Times New Roman" w:cs="Times New Roman"/>
          <w:sz w:val="24"/>
          <w:szCs w:val="24"/>
          <w:lang w:val="ru-RU" w:eastAsia="zh-CN"/>
        </w:rPr>
        <w:t>образования</w:t>
      </w:r>
      <w:r>
        <w:rPr>
          <w:rFonts w:ascii="Times New Roman" w:hAnsi="Times New Roman" w:cs="Times New Roman"/>
          <w:sz w:val="24"/>
          <w:szCs w:val="24"/>
          <w:lang w:eastAsia="zh-CN"/>
        </w:rPr>
        <w:t xml:space="preserve">, составили 76 634 147,40 руб. при плане </w:t>
      </w:r>
      <w:r>
        <w:rPr>
          <w:rFonts w:ascii="Times New Roman" w:hAnsi="Times New Roman"/>
          <w:sz w:val="24"/>
          <w:szCs w:val="24"/>
          <w:lang w:eastAsia="zh-CN"/>
        </w:rPr>
        <w:t>72 245 798,58</w:t>
      </w:r>
      <w:r>
        <w:rPr>
          <w:rFonts w:ascii="Times New Roman" w:hAnsi="Times New Roman" w:cs="Times New Roman"/>
          <w:sz w:val="24"/>
          <w:szCs w:val="24"/>
          <w:lang w:eastAsia="zh-CN"/>
        </w:rPr>
        <w:t xml:space="preserve"> руб., исполнение составило 106,07%. Расходы составили 1 262 052 058,48 руб. при плане 1 275 323 899,72 руб., исполнение составило 98,96%.</w:t>
      </w:r>
    </w:p>
    <w:p w14:paraId="76905962">
      <w:pPr>
        <w:spacing w:before="12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 Проверка бюджетной годовой отчетности</w:t>
      </w:r>
    </w:p>
    <w:p w14:paraId="1B1A74E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Проверкой полноты бюджетной отчетности в части ее соответствия по составу и установленным формам, достоверности отражения показателей бюджетной отчетности и их соответствию положениям Инструкции №191н определен выборочный способ проверки.</w:t>
      </w:r>
    </w:p>
    <w:p w14:paraId="4233532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требованиями п.7 Инструкции №191н бюджетная отчетность составлена:</w:t>
      </w:r>
    </w:p>
    <w:p w14:paraId="65ED51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основе данных Главной книги и (или) других регистров бюджетного учета; </w:t>
      </w:r>
    </w:p>
    <w:p w14:paraId="2F1DB96D">
      <w:pPr>
        <w:autoSpaceDE w:val="0"/>
        <w:autoSpaceDN w:val="0"/>
        <w:adjustRightInd w:val="0"/>
        <w:spacing w:after="72" w:afterLines="30" w:line="240" w:lineRule="auto"/>
        <w:jc w:val="both"/>
        <w:rPr>
          <w:rFonts w:ascii="Times New Roman" w:hAnsi="Times New Roman" w:cs="Times New Roman"/>
          <w:sz w:val="24"/>
          <w:szCs w:val="24"/>
        </w:rPr>
      </w:pPr>
      <w:r>
        <w:rPr>
          <w:rFonts w:ascii="Times New Roman" w:hAnsi="Times New Roman" w:cs="Times New Roman"/>
          <w:sz w:val="24"/>
          <w:szCs w:val="24"/>
        </w:rPr>
        <w:t>- на основе плановых (прогнозных) и (или) аналитических (управленческих) данных, сформированных в ходе осуществления субъектом учета своей деятельности.</w:t>
      </w:r>
    </w:p>
    <w:p w14:paraId="55D365AA">
      <w:pPr>
        <w:spacing w:after="0" w:line="240"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4.1. Справка по заключению счетов бюджетного учета отчетного финансового года (ф.0503110)</w:t>
      </w:r>
    </w:p>
    <w:p w14:paraId="41D5EF7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п.43 Инструкции №191н справка </w:t>
      </w:r>
      <w:r>
        <w:rPr>
          <w:rFonts w:ascii="Times New Roman" w:hAnsi="Times New Roman" w:cs="Times New Roman"/>
          <w:color w:val="000000" w:themeColor="text1"/>
          <w:sz w:val="24"/>
          <w:szCs w:val="24"/>
          <w14:textFill>
            <w14:solidFill>
              <w14:schemeClr w14:val="tx1"/>
            </w14:solidFill>
          </w14:textFill>
        </w:rPr>
        <w:t>(ф.0503110)</w:t>
      </w:r>
      <w:r>
        <w:rPr>
          <w:rFonts w:ascii="Times New Roman" w:hAnsi="Times New Roman" w:cs="Times New Roman"/>
          <w:sz w:val="24"/>
          <w:szCs w:val="24"/>
        </w:rPr>
        <w:t xml:space="preserve"> отражает обороты по счетам бюджетного учета, подлежащим закрытию по завершении отчетного финансового года в установленном порядке, в разрезе бюджетной деятельности (</w:t>
      </w:r>
      <w:r>
        <w:fldChar w:fldCharType="begin"/>
      </w:r>
      <w:r>
        <w:instrText xml:space="preserve"> HYPERLINK "consultantplus://offline/ref=6ABC09774EE3B9BB7E29FE9167B7EEA102F70F05E1038DC156260F8B24E17E0EA6B8A7F0634234558D64D2B3878AA7B486DBDF0C0F38GFr9G" </w:instrText>
      </w:r>
      <w:r>
        <w:fldChar w:fldCharType="separate"/>
      </w:r>
      <w:r>
        <w:rPr>
          <w:rFonts w:ascii="Times New Roman" w:hAnsi="Times New Roman" w:cs="Times New Roman"/>
          <w:sz w:val="24"/>
          <w:szCs w:val="24"/>
        </w:rPr>
        <w:t>раздел 1</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fldChar w:fldCharType="begin"/>
      </w:r>
      <w:r>
        <w:instrText xml:space="preserve"> HYPERLINK "consultantplus://offline/ref=6ABC09774EE3B9BB7E29FE9167B7EEA102F70F05E1038DC156260F8B24E17E0EA6B8A7F0624532558D64D2B3878AA7B486DBDF0C0F38GFr9G" </w:instrText>
      </w:r>
      <w:r>
        <w:fldChar w:fldCharType="separate"/>
      </w:r>
      <w:r>
        <w:rPr>
          <w:rFonts w:ascii="Times New Roman" w:hAnsi="Times New Roman" w:cs="Times New Roman"/>
          <w:sz w:val="24"/>
          <w:szCs w:val="24"/>
        </w:rPr>
        <w:t>раздел 3</w:t>
      </w:r>
      <w:r>
        <w:rPr>
          <w:rFonts w:ascii="Times New Roman" w:hAnsi="Times New Roman" w:cs="Times New Roman"/>
          <w:sz w:val="24"/>
          <w:szCs w:val="24"/>
        </w:rPr>
        <w:fldChar w:fldCharType="end"/>
      </w:r>
      <w:r>
        <w:rPr>
          <w:rFonts w:ascii="Times New Roman" w:hAnsi="Times New Roman" w:cs="Times New Roman"/>
          <w:sz w:val="24"/>
          <w:szCs w:val="24"/>
        </w:rPr>
        <w:t xml:space="preserve">) и деятельности со средствами, поступающими во временное распоряжение </w:t>
      </w:r>
      <w:r>
        <w:fldChar w:fldCharType="begin"/>
      </w:r>
      <w:r>
        <w:instrText xml:space="preserve"> HYPERLINK "consultantplus://offline/ref=6ABC09774EE3B9BB7E29FE9167B7EEA102F70F05E1038DC156260F8B24E17E0EA6B8A7F76346325DDB3EC2B7CEDFACAA80C1C10A1138F836G8rAG" </w:instrText>
      </w:r>
      <w:r>
        <w:fldChar w:fldCharType="separate"/>
      </w:r>
      <w:r>
        <w:rPr>
          <w:rFonts w:ascii="Times New Roman" w:hAnsi="Times New Roman" w:cs="Times New Roman"/>
          <w:sz w:val="24"/>
          <w:szCs w:val="24"/>
        </w:rPr>
        <w:t>(раздел 2)</w:t>
      </w:r>
      <w:r>
        <w:rPr>
          <w:rFonts w:ascii="Times New Roman" w:hAnsi="Times New Roman" w:cs="Times New Roman"/>
          <w:sz w:val="24"/>
          <w:szCs w:val="24"/>
        </w:rPr>
        <w:fldChar w:fldCharType="end"/>
      </w:r>
      <w:r>
        <w:rPr>
          <w:rFonts w:ascii="Times New Roman" w:hAnsi="Times New Roman" w:cs="Times New Roman"/>
          <w:sz w:val="24"/>
          <w:szCs w:val="24"/>
        </w:rPr>
        <w:t>.</w:t>
      </w:r>
    </w:p>
    <w:p w14:paraId="55C01FF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п.44 Инструкции №191н получатель бюджетных средств, администратор источников финансирования дефицита бюджета, администратор доходов бюджета формирует Справку (ф.0503110) к Балансу </w:t>
      </w:r>
      <w:r>
        <w:fldChar w:fldCharType="begin"/>
      </w:r>
      <w:r>
        <w:instrText xml:space="preserve"> HYPERLINK "consultantplus://offline/ref=01AC358FA0B3B256C48F718CC3560824F4C1DFCC0C3E637B926A515F28AFF1EA2F5209B27B6F9A2A7321F14DD34D985A0DAC8755D8932B44G" </w:instrText>
      </w:r>
      <w:r>
        <w:fldChar w:fldCharType="separate"/>
      </w:r>
      <w:r>
        <w:rPr>
          <w:rFonts w:ascii="Times New Roman" w:hAnsi="Times New Roman" w:cs="Times New Roman"/>
          <w:sz w:val="24"/>
          <w:szCs w:val="24"/>
        </w:rPr>
        <w:t>(ф.0503130)</w:t>
      </w:r>
      <w:r>
        <w:rPr>
          <w:rFonts w:ascii="Times New Roman" w:hAnsi="Times New Roman" w:cs="Times New Roman"/>
          <w:sz w:val="24"/>
          <w:szCs w:val="24"/>
        </w:rPr>
        <w:fldChar w:fldCharType="end"/>
      </w:r>
      <w:r>
        <w:rPr>
          <w:rFonts w:ascii="Times New Roman" w:hAnsi="Times New Roman" w:cs="Times New Roman"/>
          <w:sz w:val="24"/>
          <w:szCs w:val="24"/>
        </w:rPr>
        <w:t>.</w:t>
      </w:r>
    </w:p>
    <w:p w14:paraId="1DAE46BE">
      <w:pPr>
        <w:spacing w:after="72" w:afterLines="3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Раздел 1 «Бюджетная деятельность» справки сформирован на основании данных по соответствующим номерам счетов 140110 «Доходы текущего финансового года», 140120 «Расходы текущего финансового года» в сумме показателей, сформированных по состоянию на 1 января 2025 года до заключительных операций (графы 2,3) и в сумме заключительных операций по закрытию счетов, произведенных 31 декабря, по завершении отчетного финансового года (графы 4-7). Данные показателей справки (ф.0503110) сопоставимы с показателями Отчета о финансовых результатах деятельности (ф.0503121).</w:t>
      </w:r>
    </w:p>
    <w:p w14:paraId="7894A1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4.2. Отчет о финансовых результатах деятельности (ф.0503121)</w:t>
      </w:r>
    </w:p>
    <w:p w14:paraId="22311E5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Отчет (ф.0503121) представлен в составе годовой бюджетной отчетности (п.10, 92 Инструкции №191н). Во исполнение п.92-93 Инструкции №191н отчет содержит данные о финансовых результатах деятельности в разрезе кодов КОСГУ по состоянию на 01.01.2025г., отраженные в рамках бюджетной деятельности (гр.4) и итогового показателя (гр.6).</w:t>
      </w:r>
    </w:p>
    <w:p w14:paraId="7EF14F1B">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Таблица №4, руб.</w:t>
      </w:r>
    </w:p>
    <w:tbl>
      <w:tblPr>
        <w:tblStyle w:val="4"/>
        <w:tblW w:w="10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6777"/>
        <w:gridCol w:w="2856"/>
      </w:tblGrid>
      <w:tr w14:paraId="6C310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exact"/>
          <w:jc w:val="center"/>
        </w:trPr>
        <w:tc>
          <w:tcPr>
            <w:tcW w:w="769" w:type="dxa"/>
            <w:shd w:val="clear" w:color="auto" w:fill="auto"/>
            <w:vAlign w:val="center"/>
          </w:tcPr>
          <w:p w14:paraId="20D9283C">
            <w:pPr>
              <w:jc w:val="center"/>
              <w:rPr>
                <w:rFonts w:ascii="Times New Roman" w:hAnsi="Times New Roman" w:cs="Times New Roman"/>
                <w:sz w:val="24"/>
                <w:szCs w:val="24"/>
              </w:rPr>
            </w:pPr>
            <w:r>
              <w:rPr>
                <w:rFonts w:ascii="Times New Roman" w:hAnsi="Times New Roman" w:cs="Times New Roman"/>
                <w:sz w:val="24"/>
                <w:szCs w:val="24"/>
              </w:rPr>
              <w:t>№п/п</w:t>
            </w:r>
          </w:p>
        </w:tc>
        <w:tc>
          <w:tcPr>
            <w:tcW w:w="6777" w:type="dxa"/>
            <w:shd w:val="clear" w:color="auto" w:fill="auto"/>
            <w:vAlign w:val="center"/>
          </w:tcPr>
          <w:p w14:paraId="43E4DDC4">
            <w:pPr>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2856" w:type="dxa"/>
            <w:shd w:val="clear" w:color="auto" w:fill="auto"/>
            <w:vAlign w:val="center"/>
          </w:tcPr>
          <w:p w14:paraId="312E5AF4">
            <w:pPr>
              <w:jc w:val="center"/>
              <w:rPr>
                <w:rFonts w:ascii="Times New Roman" w:hAnsi="Times New Roman" w:cs="Times New Roman"/>
                <w:sz w:val="24"/>
                <w:szCs w:val="24"/>
              </w:rPr>
            </w:pPr>
            <w:r>
              <w:rPr>
                <w:rFonts w:ascii="Times New Roman" w:hAnsi="Times New Roman" w:cs="Times New Roman"/>
                <w:sz w:val="24"/>
                <w:szCs w:val="24"/>
              </w:rPr>
              <w:t>Бюджетная деятельность</w:t>
            </w:r>
          </w:p>
        </w:tc>
      </w:tr>
      <w:tr w14:paraId="48C2C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69" w:type="dxa"/>
            <w:shd w:val="clear" w:color="auto" w:fill="auto"/>
            <w:vAlign w:val="center"/>
          </w:tcPr>
          <w:p w14:paraId="1004D27C">
            <w:pPr>
              <w:jc w:val="center"/>
              <w:rPr>
                <w:rFonts w:ascii="Times New Roman" w:hAnsi="Times New Roman" w:cs="Times New Roman"/>
                <w:sz w:val="24"/>
                <w:szCs w:val="24"/>
              </w:rPr>
            </w:pPr>
            <w:r>
              <w:rPr>
                <w:rFonts w:ascii="Times New Roman" w:hAnsi="Times New Roman" w:cs="Times New Roman"/>
                <w:sz w:val="24"/>
                <w:szCs w:val="24"/>
              </w:rPr>
              <w:t>1.</w:t>
            </w:r>
          </w:p>
        </w:tc>
        <w:tc>
          <w:tcPr>
            <w:tcW w:w="6777" w:type="dxa"/>
            <w:shd w:val="clear" w:color="auto" w:fill="auto"/>
            <w:vAlign w:val="center"/>
          </w:tcPr>
          <w:p w14:paraId="6AB237AA">
            <w:pPr>
              <w:spacing w:after="0" w:line="240" w:lineRule="auto"/>
              <w:ind w:left="-60" w:right="-224"/>
              <w:rPr>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t>Доходы (стр. 010)</w:t>
            </w:r>
          </w:p>
        </w:tc>
        <w:tc>
          <w:tcPr>
            <w:tcW w:w="2856" w:type="dxa"/>
            <w:shd w:val="clear" w:color="auto" w:fill="auto"/>
            <w:vAlign w:val="center"/>
          </w:tcPr>
          <w:p w14:paraId="5A941FF5">
            <w:pPr>
              <w:jc w:val="center"/>
              <w:rPr>
                <w:rFonts w:ascii="Times New Roman" w:hAnsi="Times New Roman" w:cs="Times New Roman"/>
                <w:sz w:val="24"/>
                <w:szCs w:val="24"/>
              </w:rPr>
            </w:pPr>
            <w:r>
              <w:rPr>
                <w:rFonts w:ascii="Times New Roman" w:hAnsi="Times New Roman" w:cs="Times New Roman"/>
                <w:sz w:val="24"/>
                <w:szCs w:val="24"/>
              </w:rPr>
              <w:t>127 171 934,36</w:t>
            </w:r>
          </w:p>
        </w:tc>
      </w:tr>
      <w:tr w14:paraId="1F71D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69" w:type="dxa"/>
            <w:shd w:val="clear" w:color="auto" w:fill="auto"/>
            <w:vAlign w:val="center"/>
          </w:tcPr>
          <w:p w14:paraId="30535630">
            <w:pPr>
              <w:jc w:val="center"/>
              <w:rPr>
                <w:rFonts w:ascii="Times New Roman" w:hAnsi="Times New Roman" w:cs="Times New Roman"/>
                <w:sz w:val="24"/>
                <w:szCs w:val="24"/>
              </w:rPr>
            </w:pPr>
            <w:r>
              <w:rPr>
                <w:rFonts w:ascii="Times New Roman" w:hAnsi="Times New Roman" w:cs="Times New Roman"/>
                <w:sz w:val="24"/>
                <w:szCs w:val="24"/>
              </w:rPr>
              <w:t>2.</w:t>
            </w:r>
          </w:p>
        </w:tc>
        <w:tc>
          <w:tcPr>
            <w:tcW w:w="6777" w:type="dxa"/>
            <w:shd w:val="clear" w:color="auto" w:fill="auto"/>
            <w:vAlign w:val="center"/>
          </w:tcPr>
          <w:p w14:paraId="0C0587B6">
            <w:pPr>
              <w:spacing w:after="0" w:line="240" w:lineRule="auto"/>
              <w:ind w:left="-60" w:right="-224"/>
              <w:rPr>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t>Расходы (стр.150)</w:t>
            </w:r>
          </w:p>
        </w:tc>
        <w:tc>
          <w:tcPr>
            <w:tcW w:w="2856" w:type="dxa"/>
            <w:shd w:val="clear" w:color="auto" w:fill="auto"/>
            <w:vAlign w:val="center"/>
          </w:tcPr>
          <w:p w14:paraId="05D38A89">
            <w:pPr>
              <w:jc w:val="center"/>
              <w:rPr>
                <w:rFonts w:ascii="Times New Roman" w:hAnsi="Times New Roman" w:cs="Times New Roman"/>
                <w:sz w:val="24"/>
                <w:szCs w:val="24"/>
              </w:rPr>
            </w:pPr>
            <w:r>
              <w:rPr>
                <w:rFonts w:ascii="Times New Roman" w:hAnsi="Times New Roman" w:cs="Times New Roman"/>
                <w:sz w:val="24"/>
                <w:szCs w:val="24"/>
              </w:rPr>
              <w:t>1 287 449 083,83</w:t>
            </w:r>
          </w:p>
        </w:tc>
      </w:tr>
      <w:tr w14:paraId="5D9D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69" w:type="dxa"/>
            <w:shd w:val="clear" w:color="auto" w:fill="auto"/>
            <w:vAlign w:val="center"/>
          </w:tcPr>
          <w:p w14:paraId="650CD102">
            <w:pPr>
              <w:jc w:val="center"/>
              <w:rPr>
                <w:rFonts w:ascii="Times New Roman" w:hAnsi="Times New Roman" w:cs="Times New Roman"/>
                <w:sz w:val="24"/>
                <w:szCs w:val="24"/>
              </w:rPr>
            </w:pPr>
            <w:r>
              <w:rPr>
                <w:rFonts w:ascii="Times New Roman" w:hAnsi="Times New Roman" w:cs="Times New Roman"/>
                <w:sz w:val="24"/>
                <w:szCs w:val="24"/>
              </w:rPr>
              <w:t>3.</w:t>
            </w:r>
          </w:p>
        </w:tc>
        <w:tc>
          <w:tcPr>
            <w:tcW w:w="6777" w:type="dxa"/>
            <w:shd w:val="clear" w:color="auto" w:fill="auto"/>
            <w:vAlign w:val="center"/>
          </w:tcPr>
          <w:p w14:paraId="29D20921">
            <w:pPr>
              <w:spacing w:after="0" w:line="240" w:lineRule="auto"/>
              <w:ind w:left="-60" w:right="-224"/>
              <w:rPr>
                <w:rFonts w:ascii="Times New Roman" w:hAnsi="Times New Roman" w:cs="Times New Roman"/>
                <w:b/>
                <w:sz w:val="24"/>
                <w:szCs w:val="24"/>
              </w:rPr>
            </w:pPr>
            <w:r>
              <w:rPr>
                <w:rFonts w:ascii="Times New Roman" w:hAnsi="Times New Roman" w:cs="Times New Roman"/>
                <w:b/>
                <w:color w:val="000000" w:themeColor="text1"/>
                <w:sz w:val="24"/>
                <w:szCs w:val="24"/>
                <w14:textFill>
                  <w14:solidFill>
                    <w14:schemeClr w14:val="tx1"/>
                  </w14:solidFill>
                </w14:textFill>
              </w:rPr>
              <w:t xml:space="preserve">Чистый операционный результат </w:t>
            </w:r>
          </w:p>
        </w:tc>
        <w:tc>
          <w:tcPr>
            <w:tcW w:w="2856" w:type="dxa"/>
            <w:shd w:val="clear" w:color="auto" w:fill="auto"/>
            <w:vAlign w:val="center"/>
          </w:tcPr>
          <w:p w14:paraId="059287F2">
            <w:pPr>
              <w:jc w:val="center"/>
              <w:rPr>
                <w:rFonts w:ascii="Times New Roman" w:hAnsi="Times New Roman" w:cs="Times New Roman"/>
                <w:b/>
                <w:sz w:val="24"/>
                <w:szCs w:val="24"/>
              </w:rPr>
            </w:pPr>
            <w:r>
              <w:rPr>
                <w:rFonts w:ascii="Times New Roman" w:hAnsi="Times New Roman" w:cs="Times New Roman"/>
                <w:b/>
                <w:sz w:val="24"/>
                <w:szCs w:val="24"/>
              </w:rPr>
              <w:t>- 1 160 277 149,47</w:t>
            </w:r>
          </w:p>
        </w:tc>
      </w:tr>
      <w:tr w14:paraId="4E47A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69" w:type="dxa"/>
            <w:shd w:val="clear" w:color="auto" w:fill="auto"/>
            <w:vAlign w:val="center"/>
          </w:tcPr>
          <w:p w14:paraId="7B7C4012">
            <w:pPr>
              <w:jc w:val="center"/>
              <w:rPr>
                <w:rFonts w:ascii="Times New Roman" w:hAnsi="Times New Roman" w:cs="Times New Roman"/>
                <w:sz w:val="24"/>
                <w:szCs w:val="24"/>
              </w:rPr>
            </w:pPr>
            <w:r>
              <w:rPr>
                <w:rFonts w:ascii="Times New Roman" w:hAnsi="Times New Roman" w:cs="Times New Roman"/>
                <w:sz w:val="24"/>
                <w:szCs w:val="24"/>
              </w:rPr>
              <w:t>4.</w:t>
            </w:r>
          </w:p>
        </w:tc>
        <w:tc>
          <w:tcPr>
            <w:tcW w:w="6777" w:type="dxa"/>
            <w:shd w:val="clear" w:color="auto" w:fill="auto"/>
            <w:vAlign w:val="center"/>
          </w:tcPr>
          <w:p w14:paraId="1808CDA6">
            <w:pPr>
              <w:spacing w:after="0" w:line="240" w:lineRule="auto"/>
              <w:ind w:left="-60" w:right="-224"/>
              <w:rPr>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t>Операции с нефинансовыми активами (стр. 310)</w:t>
            </w:r>
          </w:p>
        </w:tc>
        <w:tc>
          <w:tcPr>
            <w:tcW w:w="2856" w:type="dxa"/>
            <w:shd w:val="clear" w:color="auto" w:fill="auto"/>
            <w:vAlign w:val="center"/>
          </w:tcPr>
          <w:p w14:paraId="2753FA5A">
            <w:pPr>
              <w:jc w:val="center"/>
              <w:rPr>
                <w:rFonts w:ascii="Times New Roman" w:hAnsi="Times New Roman" w:cs="Times New Roman"/>
                <w:sz w:val="24"/>
                <w:szCs w:val="24"/>
              </w:rPr>
            </w:pPr>
            <w:r>
              <w:rPr>
                <w:rFonts w:ascii="Times New Roman" w:hAnsi="Times New Roman" w:cs="Times New Roman"/>
                <w:sz w:val="24"/>
                <w:szCs w:val="24"/>
              </w:rPr>
              <w:t>32 102 432,22</w:t>
            </w:r>
          </w:p>
        </w:tc>
      </w:tr>
      <w:tr w14:paraId="78E27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769" w:type="dxa"/>
            <w:shd w:val="clear" w:color="auto" w:fill="auto"/>
            <w:vAlign w:val="center"/>
          </w:tcPr>
          <w:p w14:paraId="370BF35D">
            <w:pPr>
              <w:jc w:val="center"/>
              <w:rPr>
                <w:rFonts w:ascii="Times New Roman" w:hAnsi="Times New Roman" w:cs="Times New Roman"/>
                <w:sz w:val="24"/>
                <w:szCs w:val="24"/>
              </w:rPr>
            </w:pPr>
            <w:r>
              <w:rPr>
                <w:rFonts w:ascii="Times New Roman" w:hAnsi="Times New Roman" w:cs="Times New Roman"/>
                <w:sz w:val="24"/>
                <w:szCs w:val="24"/>
              </w:rPr>
              <w:t>5.</w:t>
            </w:r>
          </w:p>
        </w:tc>
        <w:tc>
          <w:tcPr>
            <w:tcW w:w="6777" w:type="dxa"/>
            <w:shd w:val="clear" w:color="auto" w:fill="auto"/>
            <w:vAlign w:val="center"/>
          </w:tcPr>
          <w:p w14:paraId="3D6A7AB2">
            <w:pPr>
              <w:spacing w:after="0" w:line="240" w:lineRule="auto"/>
              <w:ind w:left="-60" w:right="-224"/>
              <w:rPr>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t>Операции с финансовыми активами и обязательствами (стр.410)</w:t>
            </w:r>
          </w:p>
        </w:tc>
        <w:tc>
          <w:tcPr>
            <w:tcW w:w="2856" w:type="dxa"/>
            <w:shd w:val="clear" w:color="auto" w:fill="auto"/>
            <w:vAlign w:val="center"/>
          </w:tcPr>
          <w:p w14:paraId="4B0F359D">
            <w:pPr>
              <w:jc w:val="center"/>
              <w:rPr>
                <w:rFonts w:ascii="Times New Roman" w:hAnsi="Times New Roman" w:cs="Times New Roman"/>
                <w:sz w:val="24"/>
                <w:szCs w:val="24"/>
              </w:rPr>
            </w:pPr>
            <w:r>
              <w:rPr>
                <w:rFonts w:ascii="Times New Roman" w:hAnsi="Times New Roman" w:cs="Times New Roman"/>
                <w:sz w:val="24"/>
                <w:szCs w:val="24"/>
              </w:rPr>
              <w:t>-1 192 379 581,69</w:t>
            </w:r>
          </w:p>
        </w:tc>
      </w:tr>
    </w:tbl>
    <w:p w14:paraId="3B7280C8">
      <w:pPr>
        <w:spacing w:before="120"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Доходы сложились за счет:</w:t>
      </w:r>
    </w:p>
    <w:p w14:paraId="28F8E8A9">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доходов от собственности (код КОСГУ 120) – 234 064,36 руб.;</w:t>
      </w:r>
    </w:p>
    <w:p w14:paraId="31A692BA">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доходов от оказания платных услуг (код КОСГУ 130) – 58 816 890,36 руб.;</w:t>
      </w:r>
    </w:p>
    <w:p w14:paraId="0BFAC1C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безвозмездных денежных поступлений текущего характера (код КОСГУ 150) – 17 412 148,25 руб.;</w:t>
      </w:r>
    </w:p>
    <w:p w14:paraId="3A98BE9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доходов от операций с активами (код КОСГУ 170) – 8 348 636,81 руб.;</w:t>
      </w:r>
    </w:p>
    <w:p w14:paraId="24C82BC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-прочие доходы (код КОСГУ 180) - 472 754,84 руб.;</w:t>
      </w:r>
    </w:p>
    <w:p w14:paraId="5993E1FC">
      <w:pPr>
        <w:spacing w:after="72" w:afterLines="3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безвозмездные неденежные поступления (код КОСГУ 190) - 41 887 439,74 руб.</w:t>
      </w:r>
    </w:p>
    <w:p w14:paraId="237F9912">
      <w:pPr>
        <w:spacing w:after="72" w:afterLines="3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Данные показателей отчета (ф.0503121) сопоставимы с данными форм 0503110, 0503127.</w:t>
      </w:r>
    </w:p>
    <w:p w14:paraId="37925281">
      <w:pPr>
        <w:spacing w:after="0" w:line="240"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4.3.</w:t>
      </w:r>
      <w:r>
        <w:rPr>
          <w:rFonts w:ascii="Times New Roman" w:hAnsi="Times New Roman" w:cs="Times New Roman"/>
          <w:b/>
          <w:bCs/>
          <w:color w:val="000000" w:themeColor="text1"/>
          <w:sz w:val="24"/>
          <w:szCs w:val="24"/>
          <w14:textFill>
            <w14:solidFill>
              <w14:schemeClr w14:val="tx1"/>
            </w14:solidFill>
          </w14:textFill>
        </w:rPr>
        <w:t xml:space="preserve"> Отчет о</w:t>
      </w:r>
      <w:r>
        <w:rPr>
          <w:rFonts w:ascii="Times New Roman" w:hAnsi="Times New Roman" w:cs="Times New Roman"/>
          <w:b/>
          <w:color w:val="000000" w:themeColor="text1"/>
          <w:sz w:val="24"/>
          <w:szCs w:val="24"/>
          <w14:textFill>
            <w14:solidFill>
              <w14:schemeClr w14:val="tx1"/>
            </w14:solidFill>
          </w14:textFill>
        </w:rPr>
        <w:t xml:space="preserve"> движении денежных средств (ф.0503123)</w:t>
      </w:r>
    </w:p>
    <w:p w14:paraId="6C91601F">
      <w:pPr>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соответствии с п.146 Инструкции №191н отчет (ф.0503123) содержит данные о движении денежных средств в кассе и на счете по состоянию на 01.01.2025г. и составлен в разрезе КОСГУ. Информация сгруппирована по видам операций: текущие, инвестиционные, финансовые. Показатели графы 4 отчета (ф.0503123) сформированы на основании данных по видам поступлений и выбытий, с учетом возвратов текущего финансового периода.</w:t>
      </w:r>
    </w:p>
    <w:p w14:paraId="4C1F7D42">
      <w:pPr>
        <w:spacing w:after="72" w:afterLines="3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Сумма строк 5010 и 5020 за вычетом строки 4400 и суммы строк 4610 и 4620 отчета (ф.0503123) равняется данным строки 810 графы 5 отчета (ф.0503127).</w:t>
      </w:r>
    </w:p>
    <w:p w14:paraId="1055A2ED">
      <w:pPr>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Статьёй 34 БК РФ установлен принцип эффективности использования бюджетных средств, который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объёма средств (экономности) и (или) достижения наилучшего результата с использованием определённого бюджетом объёма средств (результативности).</w:t>
      </w:r>
    </w:p>
    <w:p w14:paraId="088DEFA4">
      <w:pPr>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2024 году произведены расходы по уплате штрафов за нарушение законодательства:</w:t>
      </w:r>
    </w:p>
    <w:p w14:paraId="682127F2">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о налогах и сборах, законодательства о страховых взносах в размере 1818,64 руб.;</w:t>
      </w:r>
    </w:p>
    <w:p w14:paraId="551FA5C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о закупках и нарушение условий контрактов (договоров) в размере 503000,00 руб.;</w:t>
      </w:r>
    </w:p>
    <w:p w14:paraId="20755FAC">
      <w:pPr>
        <w:spacing w:after="72" w:afterLines="3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других экономических санкций в размере 150000,00 руб.</w:t>
      </w:r>
    </w:p>
    <w:p w14:paraId="1C08F489">
      <w:pPr>
        <w:spacing w:after="72" w:afterLines="30" w:line="240" w:lineRule="auto"/>
        <w:ind w:firstLine="567"/>
        <w:jc w:val="both"/>
        <w:rPr>
          <w:rFonts w:ascii="Times New Roman" w:hAnsi="Times New Roman" w:cs="Times New Roman"/>
          <w:i/>
          <w:iCs/>
          <w:color w:val="000000" w:themeColor="text1"/>
          <w:sz w:val="24"/>
          <w:szCs w:val="24"/>
          <w14:textFill>
            <w14:solidFill>
              <w14:schemeClr w14:val="tx1"/>
            </w14:solidFill>
          </w14:textFill>
        </w:rPr>
      </w:pPr>
      <w:r>
        <w:rPr>
          <w:rFonts w:ascii="Times New Roman" w:hAnsi="Times New Roman" w:cs="Times New Roman"/>
          <w:i/>
          <w:iCs/>
          <w:color w:val="000000" w:themeColor="text1"/>
          <w:sz w:val="24"/>
          <w:szCs w:val="24"/>
          <w14:textFill>
            <w14:solidFill>
              <w14:schemeClr w14:val="tx1"/>
            </w14:solidFill>
          </w14:textFill>
        </w:rPr>
        <w:t xml:space="preserve">В нарушение ст.34 БК РФ допущено неэффективное использование бюджетных средств, произведены расходы по уплате штрафов и пени на общую сумму 654818,64 руб. </w:t>
      </w:r>
    </w:p>
    <w:p w14:paraId="3E02E680">
      <w:pPr>
        <w:spacing w:after="0" w:line="240"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4.4. Справка по консолидируемым расчетам (ф.0503125)</w:t>
      </w:r>
    </w:p>
    <w:p w14:paraId="5C8D31CA">
      <w:pPr>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соответствии с п.23 Инструкции №191н справка по консолидируемым расчетам формируется для определения взаимосвязанных показателей, подлежащих исключению при формировании финансовым органом, консолидированных форм бюджетной отчетности и представляется на 1 января года, следующего за отчетным, по денежным и неденежным расчетам.</w:t>
      </w:r>
    </w:p>
    <w:p w14:paraId="6A4ACE21">
      <w:pPr>
        <w:spacing w:after="72" w:afterLines="3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Справки (ф.0503125) составлены отдельно по каждому коду счета нарастающим итогом с начала финансового года в соответствии с п.23, 24, 25 Инструкции №191н.</w:t>
      </w:r>
    </w:p>
    <w:p w14:paraId="6F90E3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4.5.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14:paraId="0772869A">
      <w:pPr>
        <w:spacing w:before="12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Отчет раскрывает бюджетную </w:t>
      </w:r>
      <w:r>
        <w:fldChar w:fldCharType="begin"/>
      </w:r>
      <w:r>
        <w:instrText xml:space="preserve"> HYPERLINK "consultantplus://offline/ref=FF3DB571B2F08C93F47E057097A9F3D75329E5619206DA4B28C691DD3EF6BE472DB07AEE7B5DD32ED77D0113CBB4D33D5860C924B24DF3B3Y0E9M" </w:instrText>
      </w:r>
      <w:r>
        <w:fldChar w:fldCharType="separate"/>
      </w:r>
      <w:r>
        <w:rPr>
          <w:rFonts w:ascii="Times New Roman" w:hAnsi="Times New Roman" w:cs="Times New Roman"/>
          <w:sz w:val="24"/>
          <w:szCs w:val="24"/>
        </w:rPr>
        <w:t>информацию</w:t>
      </w:r>
      <w:r>
        <w:rPr>
          <w:rFonts w:ascii="Times New Roman" w:hAnsi="Times New Roman" w:cs="Times New Roman"/>
          <w:sz w:val="24"/>
          <w:szCs w:val="24"/>
        </w:rPr>
        <w:fldChar w:fldCharType="end"/>
      </w:r>
      <w:r>
        <w:rPr>
          <w:rFonts w:ascii="Times New Roman" w:hAnsi="Times New Roman" w:cs="Times New Roman"/>
          <w:sz w:val="24"/>
          <w:szCs w:val="24"/>
        </w:rPr>
        <w:t xml:space="preserve"> и обеспечивает сопоставление утвержденных (доведенных) бюджетных назначений с данными об исполнении бюджета (</w:t>
      </w:r>
      <w:r>
        <w:fldChar w:fldCharType="begin"/>
      </w:r>
      <w:r>
        <w:instrText xml:space="preserve"> HYPERLINK "consultantplus://offline/ref=FF3DB571B2F08C93F47E057097A9F3D75329E5619206DA4B28C691DD3EF6BE472DB07AEE7B5DD32BD47D0113CBB4D33D5860C924B24DF3B3Y0E9M" </w:instrText>
      </w:r>
      <w:r>
        <w:fldChar w:fldCharType="separate"/>
      </w:r>
      <w:r>
        <w:rPr>
          <w:rFonts w:ascii="Times New Roman" w:hAnsi="Times New Roman" w:cs="Times New Roman"/>
          <w:sz w:val="24"/>
          <w:szCs w:val="24"/>
        </w:rPr>
        <w:t>п.18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eastAsia="Times New Roman"/>
          <w:sz w:val="24"/>
          <w:szCs w:val="24"/>
          <w:lang w:eastAsia="ru-RU"/>
        </w:rPr>
        <w:t>Приказа от 28.02.2018 №37н</w:t>
      </w:r>
      <w:r>
        <w:rPr>
          <w:rFonts w:ascii="Times New Roman" w:hAnsi="Times New Roman" w:cs="Times New Roman"/>
          <w:sz w:val="24"/>
          <w:szCs w:val="24"/>
        </w:rPr>
        <w:t xml:space="preserve">). При заполнении документа руководствуются </w:t>
      </w:r>
      <w:r>
        <w:fldChar w:fldCharType="begin"/>
      </w:r>
      <w:r>
        <w:instrText xml:space="preserve"> HYPERLINK "consultantplus://offline/ref=FF3DB571B2F08C93F47E057097A9F3D7532AE66E9508DA4B28C691DD3EF6BE472DB07AEE7B5DD725D77D0113CBB4D33D5860C924B24DF3B3Y0E9M" </w:instrText>
      </w:r>
      <w:r>
        <w:fldChar w:fldCharType="separate"/>
      </w:r>
      <w:r>
        <w:rPr>
          <w:rFonts w:ascii="Times New Roman" w:hAnsi="Times New Roman" w:cs="Times New Roman"/>
          <w:sz w:val="24"/>
          <w:szCs w:val="24"/>
        </w:rPr>
        <w:t>п.52</w:t>
      </w:r>
      <w:r>
        <w:rPr>
          <w:rFonts w:ascii="Times New Roman" w:hAnsi="Times New Roman" w:cs="Times New Roman"/>
          <w:sz w:val="24"/>
          <w:szCs w:val="24"/>
        </w:rPr>
        <w:fldChar w:fldCharType="end"/>
      </w:r>
      <w:r>
        <w:rPr>
          <w:rFonts w:ascii="Times New Roman" w:hAnsi="Times New Roman" w:cs="Times New Roman"/>
          <w:sz w:val="24"/>
          <w:szCs w:val="24"/>
        </w:rPr>
        <w:t>-</w:t>
      </w:r>
      <w:r>
        <w:fldChar w:fldCharType="begin"/>
      </w:r>
      <w:r>
        <w:instrText xml:space="preserve"> HYPERLINK "consultantplus://offline/ref=FF3DB571B2F08C93F47E057097A9F3D7532AE66E9508DA4B28C691DD3EF6BE472DB07AEE7B5DD62FD37D0113CBB4D33D5860C924B24DF3B3Y0E9M" </w:instrText>
      </w:r>
      <w:r>
        <w:fldChar w:fldCharType="separate"/>
      </w:r>
      <w:r>
        <w:rPr>
          <w:rFonts w:ascii="Times New Roman" w:hAnsi="Times New Roman" w:cs="Times New Roman"/>
          <w:sz w:val="24"/>
          <w:szCs w:val="24"/>
        </w:rPr>
        <w:t>59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fldChar w:fldCharType="begin"/>
      </w:r>
      <w:r>
        <w:instrText xml:space="preserve"> HYPERLINK "consultantplus://offline/ref=FF3DB571B2F08C93F47E057097A9F3D7532AE66E9508DA4B28C691DD3EF6BE472DB07AEE7B5DD628D47D0113CBB4D33D5860C924B24DF3B3Y0E9M" </w:instrText>
      </w:r>
      <w:r>
        <w:fldChar w:fldCharType="separate"/>
      </w:r>
      <w:r>
        <w:rPr>
          <w:rFonts w:ascii="Times New Roman" w:hAnsi="Times New Roman" w:cs="Times New Roman"/>
          <w:sz w:val="24"/>
          <w:szCs w:val="24"/>
        </w:rPr>
        <w:t>60</w:t>
      </w:r>
      <w:r>
        <w:rPr>
          <w:rFonts w:ascii="Times New Roman" w:hAnsi="Times New Roman" w:cs="Times New Roman"/>
          <w:sz w:val="24"/>
          <w:szCs w:val="24"/>
        </w:rPr>
        <w:fldChar w:fldCharType="end"/>
      </w:r>
      <w:r>
        <w:rPr>
          <w:rFonts w:ascii="Times New Roman" w:hAnsi="Times New Roman" w:cs="Times New Roman"/>
          <w:sz w:val="24"/>
          <w:szCs w:val="24"/>
        </w:rPr>
        <w:t>-</w:t>
      </w:r>
      <w:r>
        <w:fldChar w:fldCharType="begin"/>
      </w:r>
      <w:r>
        <w:instrText xml:space="preserve"> HYPERLINK "consultantplus://offline/ref=FF3DB571B2F08C93F47E057097A9F3D7532AE66E9508DA4B28C691DD3EF6BE472DB07AE87956877D902358418FFFDE3D467CC925YAEDM" </w:instrText>
      </w:r>
      <w:r>
        <w:fldChar w:fldCharType="separate"/>
      </w:r>
      <w:r>
        <w:rPr>
          <w:rFonts w:ascii="Times New Roman" w:hAnsi="Times New Roman" w:cs="Times New Roman"/>
          <w:sz w:val="24"/>
          <w:szCs w:val="24"/>
        </w:rPr>
        <w:t>62</w:t>
      </w:r>
      <w:r>
        <w:rPr>
          <w:rFonts w:ascii="Times New Roman" w:hAnsi="Times New Roman" w:cs="Times New Roman"/>
          <w:sz w:val="24"/>
          <w:szCs w:val="24"/>
        </w:rPr>
        <w:fldChar w:fldCharType="end"/>
      </w:r>
      <w:r>
        <w:rPr>
          <w:rFonts w:ascii="Times New Roman" w:hAnsi="Times New Roman" w:cs="Times New Roman"/>
          <w:sz w:val="24"/>
          <w:szCs w:val="24"/>
        </w:rPr>
        <w:t xml:space="preserve"> Инструкции №191н.</w:t>
      </w:r>
    </w:p>
    <w:p w14:paraId="1A0954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Показатели по строке 500 раздела «Источники финансирования дефицита бюджета» в графах 5, 6, 7, 8 равны показателям, отраженным по строке 450 в графах 6, 7, 8, 9 соответственно, с противоположным знаком.</w:t>
      </w:r>
    </w:p>
    <w:p w14:paraId="75DE29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Показатели отчета (ф.0503127) сопоставимы с показателями отчета (ф.0503123) (отчет показывает движение денежных средств на счетах учреждения).</w:t>
      </w:r>
    </w:p>
    <w:p w14:paraId="2E5CE4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Показатели граф 4, 5 и 9 раздела 2 и 3 отчета (ф.0503127) сопоставимы с показателями граф 4, 5 и 10 раздела 1 и 2 отчета (ф.0503128) соответственно.</w:t>
      </w:r>
    </w:p>
    <w:p w14:paraId="27DEA6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п.59.1 Инструкции №191н сформирована дополнительная ф.0503127, содержащая данные о бюджетных назначениях по доходам, расходам, источникам финансирования дефицита бюджета.</w:t>
      </w:r>
    </w:p>
    <w:p w14:paraId="20197279">
      <w:pPr>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Сумма доходов, отраженная в отчете (ф.0503127) по разделу «Доходы бюджета - всего» в графе 5 «Исполнено, через финансовые органы» – 76634147,40 руб., соответствует данным по соответствующим счетам счета 210.02 «Расчеты с финансовым органом по поступлениям в бюджет» в главных книгах за 2024 год с учетом возвратов и уточнений.</w:t>
      </w:r>
    </w:p>
    <w:p w14:paraId="0B4322ED">
      <w:pPr>
        <w:spacing w:after="72" w:afterLines="3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Сумма расходов, отраженная в отчете (ф.0503127) по разделу «Расходы бюджета - всего» в графе 6 «Исполнено, через финансовые органы» – 1262052058,48 руб., соответствует данным по соответствующим счетам счета 304.05 «Расчеты по платежам из бюджета с финансовым органом» в главных книгах за 2024 год с учетом уточнений.</w:t>
      </w:r>
    </w:p>
    <w:p w14:paraId="6AC3B69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4.6. Отчет о бюджетных обязательствах (ф.0503128)</w:t>
      </w:r>
    </w:p>
    <w:p w14:paraId="0F71310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Отчет (ф.0503128) составлен на основании данных о принятых и исполненных бюджетных обязательствах и представлен по состоянию на 01.01.2025г. Показатели отражены на основании данных об обязательствах, подлежащих исполнению в 2024 году (п.38 </w:t>
      </w:r>
      <w:r>
        <w:rPr>
          <w:rFonts w:ascii="Times New Roman" w:hAnsi="Times New Roman" w:eastAsia="Times New Roman"/>
          <w:sz w:val="24"/>
          <w:szCs w:val="24"/>
          <w:lang w:eastAsia="ru-RU"/>
        </w:rPr>
        <w:t>Приказа от 28.02.2018 №37н</w:t>
      </w:r>
      <w:r>
        <w:rPr>
          <w:rFonts w:ascii="Times New Roman" w:hAnsi="Times New Roman" w:cs="Times New Roman"/>
          <w:sz w:val="24"/>
          <w:szCs w:val="24"/>
        </w:rPr>
        <w:t>, п.68, 69 Инструкции №191н). Отчет заполнен в порядке, приведенном в п.70, 71-73 Инструкции №191н.</w:t>
      </w:r>
    </w:p>
    <w:p w14:paraId="2D17F8B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 исполнение п.68 Инструкции №191н отчет (ф.0503128) составлен на основании данных о принятых и исполненных бюджетных обязательствах в рамках осуществляемой бюджетной деятельности по состоянию на 01.01.2025г.</w:t>
      </w:r>
    </w:p>
    <w:p w14:paraId="2A3F977E">
      <w:pPr>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Показатели граф 4, 5 и 10 раздела 1 и 2 отчета (ф.0503128) сопоставимы с показателями граф 4, 5 и 9 отчета (ф.0503127) соответственно (п.73 Инструкции №191н). Лимиты бюджетных ассигнований, установленные сводной бюджетной росписью от 28.12.2024г. в сумме 1275323899,72 руб., соответствуют гр. 4, 5 раздела 1 отчета (ф.0503128).</w:t>
      </w:r>
    </w:p>
    <w:p w14:paraId="3EAE6FF5">
      <w:pPr>
        <w:spacing w:after="0" w:line="240" w:lineRule="auto"/>
        <w:ind w:firstLine="567"/>
        <w:jc w:val="both"/>
        <w:rPr>
          <w:rFonts w:ascii="Times New Roman" w:hAnsi="Times New Roman" w:cs="Times New Roman"/>
          <w:color w:val="376092" w:themeColor="accent1" w:themeShade="BF"/>
          <w:sz w:val="12"/>
          <w:szCs w:val="12"/>
        </w:rPr>
      </w:pPr>
    </w:p>
    <w:p w14:paraId="5D1C5EDB">
      <w:pPr>
        <w:spacing w:after="0" w:line="240"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4.7.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14:paraId="2C323A0A">
      <w:pPr>
        <w:spacing w:before="120"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Баланс (ф.0503130) содержит данные о нефинансовых и финансовых активах, обязательствах и финансовом результате на начало и конец отчетного периода по счетам бюджетного учета.</w:t>
      </w:r>
    </w:p>
    <w:p w14:paraId="273BFF01">
      <w:pPr>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соответствии с п.13 Инструкции №191н показатели в Балансе отражены в разрезе бюджетной деятельности (графы 3, 6), и итогового показателя (графы 5, 8) на начало года (графы 3, 5) и конец отчетного периода (графы 6, 8).</w:t>
      </w:r>
    </w:p>
    <w:p w14:paraId="6B761948">
      <w:pPr>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Во исполнение п.14-15 Инструкции №191н в Балансе (ф.0503130) в графах «На начало года» показаны данные о стоимости активов, обязательств, финансовом результате на начало года, которые соответствуют данным граф «На конец отчетного периода» предыдущего года. В графах «На конец отчетного периода» отражены данные по состоянию на 01.01.2025г. с учетом проведенных при завершении финансового года заключительных оборотов по счетам бюджетного учета.</w:t>
      </w:r>
    </w:p>
    <w:p w14:paraId="08EDFBC9">
      <w:pPr>
        <w:spacing w:after="0" w:line="240" w:lineRule="auto"/>
        <w:ind w:firstLine="567"/>
        <w:jc w:val="both"/>
        <w:rPr>
          <w:rFonts w:ascii="Times New Roman" w:hAnsi="Times New Roman"/>
          <w:sz w:val="24"/>
          <w:szCs w:val="24"/>
        </w:rPr>
      </w:pPr>
      <w:r>
        <w:rPr>
          <w:rFonts w:ascii="Times New Roman" w:hAnsi="Times New Roman"/>
          <w:sz w:val="24"/>
          <w:szCs w:val="24"/>
        </w:rPr>
        <w:t>Контрольно-счетной палатой при проверке достоверности данных по нефинансовым активам выявлено:</w:t>
      </w:r>
    </w:p>
    <w:p w14:paraId="6DA53434">
      <w:pPr>
        <w:numPr>
          <w:ilvl w:val="0"/>
          <w:numId w:val="4"/>
        </w:numPr>
        <w:spacing w:after="0" w:line="240" w:lineRule="auto"/>
        <w:ind w:firstLine="480" w:firstLineChars="20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Излишнее начисление сумм амортизации на общую сумму </w:t>
      </w:r>
      <w:r>
        <w:rPr>
          <w:rFonts w:ascii="Times New Roman" w:hAnsi="Times New Roman" w:cs="Times New Roman"/>
          <w:sz w:val="24"/>
          <w:szCs w:val="24"/>
          <w:u w:val="single"/>
          <w:lang w:eastAsia="zh-CN"/>
        </w:rPr>
        <w:t xml:space="preserve">171063,49 руб., </w:t>
      </w:r>
      <w:r>
        <w:rPr>
          <w:rFonts w:ascii="Times New Roman" w:hAnsi="Times New Roman" w:cs="Times New Roman"/>
          <w:sz w:val="24"/>
          <w:szCs w:val="24"/>
          <w:lang w:eastAsia="ru-RU"/>
        </w:rPr>
        <w:t xml:space="preserve">что нарушает п.32 Приказа от 31.12.2016 №257н, </w:t>
      </w:r>
      <w:r>
        <w:rPr>
          <w:rFonts w:ascii="Times New Roman" w:hAnsi="Times New Roman" w:cs="Times New Roman"/>
          <w:sz w:val="24"/>
          <w:szCs w:val="24"/>
          <w:lang w:eastAsia="zh-CN"/>
        </w:rPr>
        <w:t>п. 84, п.85 Инструкции №157н:</w:t>
      </w:r>
    </w:p>
    <w:p w14:paraId="3A522B19">
      <w:pPr>
        <w:numPr>
          <w:ilvl w:val="0"/>
          <w:numId w:val="5"/>
        </w:numPr>
        <w:tabs>
          <w:tab w:val="left" w:pos="0"/>
          <w:tab w:val="clear" w:pos="420"/>
        </w:tabs>
        <w:spacing w:after="0" w:line="240" w:lineRule="auto"/>
        <w:ind w:left="0" w:firstLine="0"/>
        <w:jc w:val="both"/>
        <w:rPr>
          <w:rFonts w:ascii="Times New Roman" w:hAnsi="Times New Roman" w:cs="Times New Roman"/>
          <w:sz w:val="24"/>
          <w:szCs w:val="24"/>
          <w:lang w:eastAsia="zh-CN"/>
        </w:rPr>
      </w:pPr>
      <w:r>
        <w:rPr>
          <w:rFonts w:ascii="Times New Roman" w:hAnsi="Times New Roman" w:cs="Times New Roman"/>
          <w:sz w:val="24"/>
          <w:szCs w:val="24"/>
          <w:lang w:eastAsia="zh-CN"/>
        </w:rPr>
        <w:t>МКОУ "Средняя общеобразовательная школа №1 с углубленным изучением отдельных предметов имени С.Г. Хуснетдинова МО "Ахтубинский район":</w:t>
      </w:r>
    </w:p>
    <w:p w14:paraId="242B7F8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zh-CN"/>
        </w:rPr>
        <w:t xml:space="preserve">- счет </w:t>
      </w:r>
      <w:r>
        <w:rPr>
          <w:rFonts w:ascii="Times New Roman" w:hAnsi="Times New Roman" w:cs="Times New Roman"/>
          <w:sz w:val="24"/>
          <w:szCs w:val="24"/>
        </w:rPr>
        <w:t>104.24 «Амортизация машин и оборудования - особо ценного движимого имущества учреждения» на сумму 20663,78 руб.;</w:t>
      </w:r>
    </w:p>
    <w:p w14:paraId="7C547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сч.104.38 «Амортизация прочих основных средств - иного движимого имущества учреждения" на сумму 150166,57 руб.</w:t>
      </w:r>
    </w:p>
    <w:p w14:paraId="03BDC4C6">
      <w:pPr>
        <w:numPr>
          <w:ilvl w:val="0"/>
          <w:numId w:val="5"/>
        </w:numPr>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МКОУ "Капустиноярская средняя общеобразовательная школа МО "Ахтубинский район":</w:t>
      </w:r>
    </w:p>
    <w:p w14:paraId="1FA319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сч.104.38 «Амортизация прочих основных средств - иного движимого имущества учреждения» на сумму 233,14 руб.</w:t>
      </w:r>
    </w:p>
    <w:p w14:paraId="51A3BA02">
      <w:pPr>
        <w:numPr>
          <w:ilvl w:val="0"/>
          <w:numId w:val="4"/>
        </w:numPr>
        <w:spacing w:after="0" w:line="24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 xml:space="preserve">Отсутствие начисления амортизации на общую сумму </w:t>
      </w:r>
      <w:r>
        <w:rPr>
          <w:rFonts w:ascii="Times New Roman" w:hAnsi="Times New Roman" w:cs="Times New Roman"/>
          <w:sz w:val="24"/>
          <w:szCs w:val="24"/>
          <w:u w:val="single"/>
        </w:rPr>
        <w:t>502136,43 руб.</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ru-RU"/>
        </w:rPr>
        <w:t xml:space="preserve">что нарушает п.32 Приказа от 31.12.2016 №257н, </w:t>
      </w:r>
      <w:r>
        <w:rPr>
          <w:rFonts w:ascii="Times New Roman" w:hAnsi="Times New Roman" w:cs="Times New Roman"/>
          <w:sz w:val="24"/>
          <w:szCs w:val="24"/>
          <w:lang w:eastAsia="zh-CN"/>
        </w:rPr>
        <w:t>п. 84, п.85 Инструкции №157н:</w:t>
      </w:r>
    </w:p>
    <w:p w14:paraId="0A3CC573">
      <w:pPr>
        <w:numPr>
          <w:ilvl w:val="0"/>
          <w:numId w:val="5"/>
        </w:numPr>
        <w:tabs>
          <w:tab w:val="left" w:pos="0"/>
          <w:tab w:val="clear" w:pos="42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МКОУ "Пироговская ООШ МО "Ахтубинский район" по сч.104.38 «Амортизация прочих основных средств - иного движимого имущества учреждения» на сумму 10961,32 руб.;</w:t>
      </w:r>
    </w:p>
    <w:p w14:paraId="30A09B68">
      <w:pPr>
        <w:numPr>
          <w:ilvl w:val="0"/>
          <w:numId w:val="5"/>
        </w:numPr>
        <w:tabs>
          <w:tab w:val="left" w:pos="0"/>
          <w:tab w:val="clear" w:pos="420"/>
        </w:tabs>
        <w:spacing w:after="0" w:line="240" w:lineRule="auto"/>
        <w:ind w:left="0" w:firstLine="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МКОУ "Покровская средняя общеобразовательная школа МО "Ахтубинский район" </w:t>
      </w:r>
      <w:r>
        <w:rPr>
          <w:rFonts w:ascii="Times New Roman" w:hAnsi="Times New Roman" w:cs="Times New Roman"/>
          <w:sz w:val="24"/>
          <w:szCs w:val="24"/>
        </w:rPr>
        <w:t>по сч.104.38 «Амортизация прочих основных средств - иного движимого имущества учреждения» на сумму 145909,95 руб.;</w:t>
      </w:r>
    </w:p>
    <w:p w14:paraId="05D2C9D0">
      <w:pPr>
        <w:numPr>
          <w:ilvl w:val="0"/>
          <w:numId w:val="5"/>
        </w:numPr>
        <w:tabs>
          <w:tab w:val="left" w:pos="0"/>
          <w:tab w:val="clear" w:pos="420"/>
        </w:tabs>
        <w:spacing w:after="0" w:line="240" w:lineRule="auto"/>
        <w:ind w:left="0" w:firstLine="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МКОУ "Садовская основная общеобразовательная школа МО "Ахтубинский район" </w:t>
      </w:r>
      <w:r>
        <w:rPr>
          <w:rFonts w:ascii="Times New Roman" w:hAnsi="Times New Roman" w:cs="Times New Roman"/>
          <w:sz w:val="24"/>
          <w:szCs w:val="24"/>
        </w:rPr>
        <w:t>по сч.104.34 «Амортизация машин и оборудования» на сумму 78689,12 руб.;</w:t>
      </w:r>
    </w:p>
    <w:p w14:paraId="577A6FDA">
      <w:pPr>
        <w:numPr>
          <w:ilvl w:val="0"/>
          <w:numId w:val="5"/>
        </w:numPr>
        <w:tabs>
          <w:tab w:val="left" w:pos="0"/>
          <w:tab w:val="clear" w:pos="420"/>
        </w:tabs>
        <w:spacing w:after="0" w:line="240" w:lineRule="auto"/>
        <w:ind w:left="0" w:firstLine="0"/>
        <w:jc w:val="both"/>
        <w:rPr>
          <w:rFonts w:ascii="Times New Roman" w:hAnsi="Times New Roman" w:cs="Times New Roman"/>
          <w:sz w:val="24"/>
          <w:szCs w:val="24"/>
          <w:lang w:eastAsia="zh-CN"/>
        </w:rPr>
      </w:pPr>
      <w:r>
        <w:rPr>
          <w:rFonts w:ascii="Times New Roman" w:hAnsi="Times New Roman" w:cs="Times New Roman"/>
          <w:sz w:val="24"/>
          <w:szCs w:val="24"/>
          <w:lang w:eastAsia="zh-CN"/>
        </w:rPr>
        <w:t>МКОУ "Батаевская основная общеобразовательная школа МО "Ахтубинский район" по сч.104.12 «Амортизация нежилых помещений (зданий и сооружений) - недвижимого имущества учреждения" на сумму 266579,04 руб.</w:t>
      </w:r>
    </w:p>
    <w:p w14:paraId="1D745979">
      <w:pPr>
        <w:numPr>
          <w:ilvl w:val="0"/>
          <w:numId w:val="4"/>
        </w:numPr>
        <w:tabs>
          <w:tab w:val="left" w:pos="0"/>
        </w:tabs>
        <w:spacing w:after="0" w:line="240" w:lineRule="auto"/>
        <w:ind w:firstLine="480" w:firstLineChars="200"/>
        <w:jc w:val="both"/>
        <w:rPr>
          <w:rFonts w:ascii="Times New Roman" w:hAnsi="Times New Roman" w:cs="Times New Roman"/>
          <w:sz w:val="24"/>
          <w:szCs w:val="24"/>
          <w:lang w:eastAsia="ru-RU"/>
        </w:rPr>
      </w:pPr>
      <w:r>
        <w:rPr>
          <w:rFonts w:ascii="Times New Roman" w:hAnsi="Times New Roman" w:cs="Times New Roman"/>
          <w:sz w:val="24"/>
          <w:szCs w:val="24"/>
          <w:lang w:eastAsia="ru-RU"/>
        </w:rPr>
        <w:t>Несоответствие кадастровой стоимости земельных участков по данным бухгалтерского учета и сведений, внесенных в ЕГРН, на общую сумму 6315468,48 руб., что не соответствует требованиям п.71 Инструкции №157н:</w:t>
      </w:r>
    </w:p>
    <w:p w14:paraId="05EA36B1">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 п</w:t>
      </w:r>
      <w:r>
        <w:rPr>
          <w:rFonts w:ascii="Times New Roman" w:hAnsi="Times New Roman" w:cs="Times New Roman"/>
          <w:sz w:val="24"/>
          <w:szCs w:val="24"/>
        </w:rPr>
        <w:t xml:space="preserve">о данным выписки из Единого государственного реестра недвижимости об основных характеристиках и зарегистрированных правах на объект недвижимости (далее - выписка ЕГРН) от 17.03.2025г. земельный участок с кадастровым номером 30:01:060201:24, кадастровой стоимостью 391124,16 руб., расположенный по адресу: Астраханская область, Ахтубинский р-н, п.Нижний Баскунчак, ул. Красноармейская, 41, оформлен в постоянное (бессрочное) пользование, дата регистрации 16.07.2015г. №30-30/002-30/002/030/2015-448/1. </w:t>
      </w:r>
      <w:r>
        <w:rPr>
          <w:rFonts w:ascii="Times New Roman" w:hAnsi="Times New Roman"/>
          <w:sz w:val="24"/>
          <w:szCs w:val="24"/>
        </w:rPr>
        <w:t>В МКДОУ "Нижнебаскунчакский детский сад МО "Ахтубинский район" данный земельный участок не принят к бухгалтерскому учету по сч. 103.00 «Непроизводственные активы»</w:t>
      </w:r>
      <w:r>
        <w:rPr>
          <w:rFonts w:ascii="Times New Roman" w:hAnsi="Times New Roman" w:cs="Times New Roman"/>
          <w:sz w:val="24"/>
          <w:szCs w:val="24"/>
        </w:rPr>
        <w:t>.</w:t>
      </w:r>
    </w:p>
    <w:p w14:paraId="0720023E">
      <w:pPr>
        <w:spacing w:after="72" w:afterLines="3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 данным выписки из ЕГРН от 17.03.2025г. право собственности на земельный участок с кадастровым номером 30:01:000000:1189, кадастровой стоимостью 6706592,64 руб., расположенный по адресу: Астраханская область, Ахтубинский р-н, г.Ахтубинск, ул. Суворова 1, принадлежит МО «Ахтубинский район». Обременений на объект недвижимости не зарегистрировано. На балансовый учет данный земельный участок принят по сч.103.00 </w:t>
      </w:r>
      <w:r>
        <w:rPr>
          <w:rFonts w:ascii="Times New Roman" w:hAnsi="Times New Roman"/>
          <w:sz w:val="24"/>
          <w:szCs w:val="24"/>
        </w:rPr>
        <w:t>«Непроизводственные активы»</w:t>
      </w:r>
      <w:r>
        <w:rPr>
          <w:rFonts w:ascii="Times New Roman" w:hAnsi="Times New Roman" w:cs="Times New Roman"/>
          <w:sz w:val="24"/>
          <w:szCs w:val="24"/>
        </w:rPr>
        <w:t xml:space="preserve"> в МКОУ «СОШ №3 МО "Ахтубинский район". Согласно пояснительной записки Управления </w:t>
      </w:r>
      <w:r>
        <w:rPr>
          <w:rFonts w:ascii="Times New Roman" w:hAnsi="Times New Roman" w:cs="Times New Roman"/>
          <w:sz w:val="24"/>
          <w:szCs w:val="24"/>
          <w:lang w:val="ru-RU"/>
        </w:rPr>
        <w:t>образования</w:t>
      </w:r>
      <w:r>
        <w:rPr>
          <w:rFonts w:ascii="Times New Roman" w:hAnsi="Times New Roman" w:cs="Times New Roman"/>
          <w:sz w:val="24"/>
          <w:szCs w:val="24"/>
        </w:rPr>
        <w:t xml:space="preserve"> от 03.04.2025г. №1020 от директора школы в бухгалтерию не поступила информация об отсутствии прав пользования данным земельным участком.</w:t>
      </w:r>
    </w:p>
    <w:p w14:paraId="0B9D0B67">
      <w:pPr>
        <w:spacing w:after="0" w:line="240" w:lineRule="auto"/>
        <w:ind w:firstLine="480" w:firstLineChars="200"/>
        <w:jc w:val="both"/>
        <w:rPr>
          <w:rFonts w:ascii="Times New Roman" w:hAnsi="Times New Roman"/>
          <w:i/>
          <w:iCs/>
          <w:color w:val="000000" w:themeColor="text1"/>
          <w:sz w:val="24"/>
          <w:szCs w:val="24"/>
          <w14:textFill>
            <w14:solidFill>
              <w14:schemeClr w14:val="tx1"/>
            </w14:solidFill>
          </w14:textFill>
        </w:rPr>
      </w:pPr>
      <w:r>
        <w:rPr>
          <w:rFonts w:ascii="Times New Roman" w:hAnsi="Times New Roman"/>
          <w:i/>
          <w:iCs/>
          <w:color w:val="000000" w:themeColor="text1"/>
          <w:sz w:val="24"/>
          <w:szCs w:val="24"/>
          <w14:textFill>
            <w14:solidFill>
              <w14:schemeClr w14:val="tx1"/>
            </w14:solidFill>
          </w14:textFill>
        </w:rPr>
        <w:t>В нарушение ст. 13 ФЗ №402-ФЗ, п.7 Инструкции №191н, п.71, п. 84, п.85 Инструкции №157н допущено нарушение требований к бюджетному (бухгалтерскому) учету, повлекшее представление бюджетной отчетности по состоянию на 01.01.2025, содержащей искажение показателей баланса (ф.0503130) в графах «На конец отчетного периода» (графы 6 и 8) по кодам строк:</w:t>
      </w:r>
    </w:p>
    <w:p w14:paraId="026AC4D6">
      <w:pPr>
        <w:spacing w:after="0" w:line="240" w:lineRule="auto"/>
        <w:jc w:val="both"/>
        <w:rPr>
          <w:rFonts w:ascii="Times New Roman" w:hAnsi="Times New Roman"/>
          <w:i/>
          <w:iCs/>
          <w:color w:val="000000" w:themeColor="text1"/>
          <w:sz w:val="24"/>
          <w:szCs w:val="24"/>
          <w14:textFill>
            <w14:solidFill>
              <w14:schemeClr w14:val="tx1"/>
            </w14:solidFill>
          </w14:textFill>
        </w:rPr>
      </w:pPr>
      <w:r>
        <w:rPr>
          <w:rFonts w:ascii="Times New Roman" w:hAnsi="Times New Roman"/>
          <w:i/>
          <w:iCs/>
          <w:color w:val="000000" w:themeColor="text1"/>
          <w:sz w:val="24"/>
          <w:szCs w:val="24"/>
          <w14:textFill>
            <w14:solidFill>
              <w14:schemeClr w14:val="tx1"/>
            </w14:solidFill>
          </w14:textFill>
        </w:rPr>
        <w:t>- 020 «Уменьшение стоимости основных средств**,всего*» отражена стоимость 728050391,76 руб. вместо 728381464,70 руб., сумма расхождений 331072,94 руб.;</w:t>
      </w:r>
    </w:p>
    <w:p w14:paraId="19A66A60">
      <w:pPr>
        <w:spacing w:after="0" w:line="240" w:lineRule="auto"/>
        <w:jc w:val="both"/>
        <w:rPr>
          <w:rFonts w:ascii="Times New Roman" w:hAnsi="Times New Roman"/>
          <w:i/>
          <w:iCs/>
          <w:color w:val="000000" w:themeColor="text1"/>
          <w:sz w:val="24"/>
          <w:szCs w:val="24"/>
          <w14:textFill>
            <w14:solidFill>
              <w14:schemeClr w14:val="tx1"/>
            </w14:solidFill>
          </w14:textFill>
        </w:rPr>
      </w:pPr>
      <w:r>
        <w:rPr>
          <w:rFonts w:ascii="Times New Roman" w:hAnsi="Times New Roman"/>
          <w:i/>
          <w:iCs/>
          <w:color w:val="000000" w:themeColor="text1"/>
          <w:sz w:val="24"/>
          <w:szCs w:val="24"/>
          <w14:textFill>
            <w14:solidFill>
              <w14:schemeClr w14:val="tx1"/>
            </w14:solidFill>
          </w14:textFill>
        </w:rPr>
        <w:t>- 021 «Амортизация основных средств*» отражена стоимость 728050391,76 руб. вместо 728381464,70 руб., сумма расхождений 331072,94 руб.;</w:t>
      </w:r>
    </w:p>
    <w:p w14:paraId="6ED52001">
      <w:pPr>
        <w:spacing w:after="0" w:line="240" w:lineRule="auto"/>
        <w:jc w:val="both"/>
        <w:rPr>
          <w:rFonts w:ascii="Times New Roman" w:hAnsi="Times New Roman"/>
          <w:i/>
          <w:iCs/>
          <w:color w:val="000000" w:themeColor="text1"/>
          <w:sz w:val="24"/>
          <w:szCs w:val="24"/>
          <w14:textFill>
            <w14:solidFill>
              <w14:schemeClr w14:val="tx1"/>
            </w14:solidFill>
          </w14:textFill>
        </w:rPr>
      </w:pPr>
      <w:r>
        <w:rPr>
          <w:rFonts w:ascii="Times New Roman" w:hAnsi="Times New Roman"/>
          <w:i/>
          <w:iCs/>
          <w:color w:val="000000" w:themeColor="text1"/>
          <w:sz w:val="24"/>
          <w:szCs w:val="24"/>
          <w14:textFill>
            <w14:solidFill>
              <w14:schemeClr w14:val="tx1"/>
            </w14:solidFill>
          </w14:textFill>
        </w:rPr>
        <w:t>-030 «Основные средства (остаточная стоимость, стр.010-стр.020) отражена стоимость 177616542,55 руб. вместо 177285469,61 руб., сумма расхождений 331072,94 руб.;</w:t>
      </w:r>
    </w:p>
    <w:p w14:paraId="5DA763CF">
      <w:pPr>
        <w:spacing w:after="0" w:line="240" w:lineRule="auto"/>
        <w:jc w:val="both"/>
        <w:rPr>
          <w:rFonts w:ascii="Times New Roman" w:hAnsi="Times New Roman"/>
          <w:i/>
          <w:iCs/>
          <w:color w:val="000000" w:themeColor="text1"/>
          <w:sz w:val="24"/>
          <w:szCs w:val="24"/>
          <w14:textFill>
            <w14:solidFill>
              <w14:schemeClr w14:val="tx1"/>
            </w14:solidFill>
          </w14:textFill>
        </w:rPr>
      </w:pPr>
      <w:r>
        <w:rPr>
          <w:rFonts w:ascii="Times New Roman" w:hAnsi="Times New Roman"/>
          <w:i/>
          <w:iCs/>
          <w:color w:val="000000" w:themeColor="text1"/>
          <w:sz w:val="24"/>
          <w:szCs w:val="24"/>
          <w14:textFill>
            <w14:solidFill>
              <w14:schemeClr w14:val="tx1"/>
            </w14:solidFill>
          </w14:textFill>
        </w:rPr>
        <w:t>- 070 «Непроизведенные активы (010300000)» отражена стоимость 173048202,51 руб. вместо 166732734,03 руб., сумма расхождений 6315468,48 руб.;</w:t>
      </w:r>
    </w:p>
    <w:p w14:paraId="702F84AC">
      <w:pPr>
        <w:spacing w:after="0" w:line="240" w:lineRule="auto"/>
        <w:jc w:val="both"/>
        <w:rPr>
          <w:rFonts w:ascii="Times New Roman" w:hAnsi="Times New Roman"/>
          <w:i/>
          <w:iCs/>
          <w:color w:val="000000" w:themeColor="text1"/>
          <w:sz w:val="24"/>
          <w:szCs w:val="24"/>
          <w14:textFill>
            <w14:solidFill>
              <w14:schemeClr w14:val="tx1"/>
            </w14:solidFill>
          </w14:textFill>
        </w:rPr>
      </w:pPr>
      <w:r>
        <w:rPr>
          <w:rFonts w:ascii="Times New Roman" w:hAnsi="Times New Roman"/>
          <w:i/>
          <w:iCs/>
          <w:color w:val="000000" w:themeColor="text1"/>
          <w:sz w:val="24"/>
          <w:szCs w:val="24"/>
          <w14:textFill>
            <w14:solidFill>
              <w14:schemeClr w14:val="tx1"/>
            </w14:solidFill>
          </w14:textFill>
        </w:rPr>
        <w:t>- 190 «Итого по разделу I (стр.030 + стр.060 + стр.070 + стр.080 + стр.100 + стр.120 + стр.130 + стр.140 + стр.150 + стр.160)» отражена стоимость 387066514,18 руб. вместо 380419972,76 руб., сумма расхождений 6646541,42 руб.;</w:t>
      </w:r>
    </w:p>
    <w:p w14:paraId="7F125DD4">
      <w:pPr>
        <w:spacing w:after="0" w:line="240" w:lineRule="auto"/>
        <w:jc w:val="both"/>
        <w:rPr>
          <w:rFonts w:ascii="Times New Roman" w:hAnsi="Times New Roman"/>
          <w:i/>
          <w:iCs/>
          <w:color w:val="000000" w:themeColor="text1"/>
          <w:sz w:val="24"/>
          <w:szCs w:val="24"/>
          <w14:textFill>
            <w14:solidFill>
              <w14:schemeClr w14:val="tx1"/>
            </w14:solidFill>
          </w14:textFill>
        </w:rPr>
      </w:pPr>
      <w:r>
        <w:rPr>
          <w:rFonts w:ascii="Times New Roman" w:hAnsi="Times New Roman"/>
          <w:i/>
          <w:iCs/>
          <w:color w:val="000000" w:themeColor="text1"/>
          <w:sz w:val="24"/>
          <w:szCs w:val="24"/>
          <w14:textFill>
            <w14:solidFill>
              <w14:schemeClr w14:val="tx1"/>
            </w14:solidFill>
          </w14:textFill>
        </w:rPr>
        <w:t>- 350 «БАЛАНС (стр. 190 + стр. 340)» (Актив) отражена стоимость 389289431,63 руб. вместо 382642890,21 руб., сумма расхождений 6646541,42 руб.;</w:t>
      </w:r>
    </w:p>
    <w:p w14:paraId="0443DB57">
      <w:pPr>
        <w:spacing w:after="0" w:line="240" w:lineRule="auto"/>
        <w:jc w:val="both"/>
        <w:rPr>
          <w:rFonts w:ascii="Times New Roman" w:hAnsi="Times New Roman"/>
          <w:i/>
          <w:iCs/>
          <w:color w:val="000000" w:themeColor="text1"/>
          <w:sz w:val="24"/>
          <w:szCs w:val="24"/>
          <w14:textFill>
            <w14:solidFill>
              <w14:schemeClr w14:val="tx1"/>
            </w14:solidFill>
          </w14:textFill>
        </w:rPr>
      </w:pPr>
      <w:r>
        <w:rPr>
          <w:rFonts w:ascii="Times New Roman" w:hAnsi="Times New Roman"/>
          <w:i/>
          <w:iCs/>
          <w:color w:val="000000" w:themeColor="text1"/>
          <w:sz w:val="24"/>
          <w:szCs w:val="24"/>
          <w14:textFill>
            <w14:solidFill>
              <w14:schemeClr w14:val="tx1"/>
            </w14:solidFill>
          </w14:textFill>
        </w:rPr>
        <w:t>- 570 «Финансовый результат экономического субъекта» отражена стоимость 356465940,66 руб. вместо 349819399,24 руб., сумма расхождений 6646541,42 руб.;</w:t>
      </w:r>
    </w:p>
    <w:p w14:paraId="5EEE89DF">
      <w:pPr>
        <w:spacing w:after="72" w:afterLines="30" w:line="240" w:lineRule="auto"/>
        <w:jc w:val="both"/>
        <w:rPr>
          <w:rFonts w:ascii="Times New Roman" w:hAnsi="Times New Roman"/>
          <w:i/>
          <w:iCs/>
          <w:color w:val="000000" w:themeColor="text1"/>
          <w:sz w:val="24"/>
          <w:szCs w:val="24"/>
          <w14:textFill>
            <w14:solidFill>
              <w14:schemeClr w14:val="tx1"/>
            </w14:solidFill>
          </w14:textFill>
        </w:rPr>
      </w:pPr>
      <w:r>
        <w:rPr>
          <w:rFonts w:ascii="Times New Roman" w:hAnsi="Times New Roman"/>
          <w:i/>
          <w:iCs/>
          <w:color w:val="000000" w:themeColor="text1"/>
          <w:sz w:val="24"/>
          <w:szCs w:val="24"/>
          <w14:textFill>
            <w14:solidFill>
              <w14:schemeClr w14:val="tx1"/>
            </w14:solidFill>
          </w14:textFill>
        </w:rPr>
        <w:t>- 700 «БАЛАНС (стр. 550 + стр. 570» (Пассив) отражена стоимость 389289431,63 руб. вместо 382642890,213 руб., сумма расхождений 6646541,42 руб.</w:t>
      </w:r>
    </w:p>
    <w:p w14:paraId="3EB5D953">
      <w:pPr>
        <w:spacing w:after="0" w:line="240" w:lineRule="auto"/>
        <w:ind w:firstLine="480" w:firstLineChars="200"/>
        <w:jc w:val="both"/>
        <w:rPr>
          <w:rFonts w:ascii="Times New Roman" w:hAnsi="Times New Roman"/>
          <w:i/>
          <w:iCs/>
          <w:color w:val="000000" w:themeColor="text1"/>
          <w:sz w:val="24"/>
          <w:szCs w:val="24"/>
          <w14:textFill>
            <w14:solidFill>
              <w14:schemeClr w14:val="tx1"/>
            </w14:solidFill>
          </w14:textFill>
        </w:rPr>
      </w:pPr>
      <w:r>
        <w:rPr>
          <w:rFonts w:ascii="Times New Roman" w:hAnsi="Times New Roman"/>
          <w:i/>
          <w:iCs/>
          <w:color w:val="000000" w:themeColor="text1"/>
          <w:sz w:val="24"/>
          <w:szCs w:val="24"/>
          <w14:textFill>
            <w14:solidFill>
              <w14:schemeClr w14:val="tx1"/>
            </w14:solidFill>
          </w14:textFill>
        </w:rPr>
        <w:t xml:space="preserve">Искажение показателей по Разделу </w:t>
      </w:r>
      <w:r>
        <w:rPr>
          <w:rFonts w:ascii="Times New Roman" w:hAnsi="Times New Roman"/>
          <w:i/>
          <w:iCs/>
          <w:color w:val="000000" w:themeColor="text1"/>
          <w:sz w:val="24"/>
          <w:szCs w:val="24"/>
          <w:lang w:val="en-US"/>
          <w14:textFill>
            <w14:solidFill>
              <w14:schemeClr w14:val="tx1"/>
            </w14:solidFill>
          </w14:textFill>
        </w:rPr>
        <w:t>I</w:t>
      </w:r>
      <w:r>
        <w:rPr>
          <w:rFonts w:ascii="Times New Roman" w:hAnsi="Times New Roman"/>
          <w:i/>
          <w:iCs/>
          <w:color w:val="000000" w:themeColor="text1"/>
          <w:sz w:val="24"/>
          <w:szCs w:val="24"/>
          <w14:textFill>
            <w14:solidFill>
              <w14:schemeClr w14:val="tx1"/>
            </w14:solidFill>
          </w14:textFill>
        </w:rPr>
        <w:t xml:space="preserve"> «Нефинансовые активы» на общую сумму 6646541,42 руб. (строки 020, 021, 030, 070) бухгалтерской отчетности составило 1,72% (6646541,42 руб. / итого по разделу 1 по коду строки 190 «Баланса» 387066514,18 руб.).</w:t>
      </w:r>
    </w:p>
    <w:p w14:paraId="6F0EEEE3">
      <w:pPr>
        <w:spacing w:after="0" w:line="240" w:lineRule="auto"/>
        <w:ind w:firstLine="480" w:firstLineChars="200"/>
        <w:jc w:val="both"/>
        <w:rPr>
          <w:rFonts w:ascii="Times New Roman" w:hAnsi="Times New Roman" w:cs="Times New Roman"/>
          <w:i/>
          <w:iCs/>
          <w:color w:val="000000" w:themeColor="text1"/>
          <w:sz w:val="24"/>
          <w:szCs w:val="24"/>
          <w14:textFill>
            <w14:solidFill>
              <w14:schemeClr w14:val="tx1"/>
            </w14:solidFill>
          </w14:textFill>
        </w:rPr>
      </w:pPr>
      <w:r>
        <w:rPr>
          <w:rFonts w:ascii="Times New Roman" w:hAnsi="Times New Roman"/>
          <w:i/>
          <w:iCs/>
          <w:color w:val="000000" w:themeColor="text1"/>
          <w:sz w:val="24"/>
          <w:szCs w:val="24"/>
          <w14:textFill>
            <w14:solidFill>
              <w14:schemeClr w14:val="tx1"/>
            </w14:solidFill>
          </w14:textFill>
        </w:rPr>
        <w:t>За нарушение требований к бюджетному (бухгалтерскому) учету, повлекшее представление бюджетной или бухгалтерской (финансовой) отчетности, содержащей грубое искажение показателей бюджетной или бухгалтерской (финансовой) отчетности, выразившее в искажении показателей бюджетной или бухгалтерской (финансовой) отчетности, которое привело к искажению информации об активах, и (или) обязательствах, и (или) о финансовом результате по состоянию на 01.01.2025г., не менее чем на 1 процент, но не более чем на 10 процентов и на сумму, превышающую один миллион руб., установлена административная ответственность, предусмотренная ч.4 ст.15.15.6 КоАП РФ.</w:t>
      </w:r>
    </w:p>
    <w:p w14:paraId="576EE570">
      <w:pPr>
        <w:tabs>
          <w:tab w:val="left" w:pos="0"/>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Согласно п.3.8 должностной инструкции главного бухгалтера </w:t>
      </w:r>
      <w:r>
        <w:rPr>
          <w:rFonts w:ascii="Times New Roman" w:hAnsi="Times New Roman" w:eastAsia="Times New Roman" w:cs="Times New Roman"/>
          <w:sz w:val="24"/>
          <w:szCs w:val="24"/>
          <w:lang w:eastAsia="ru-RU"/>
        </w:rPr>
        <w:t xml:space="preserve">МКУ «Централизованная бухгалтерия </w:t>
      </w:r>
      <w:r>
        <w:rPr>
          <w:rFonts w:ascii="Times New Roman" w:hAnsi="Times New Roman" w:cs="Times New Roman"/>
          <w:color w:val="000000" w:themeColor="text1"/>
          <w:sz w:val="24"/>
          <w:szCs w:val="24"/>
          <w14:textFill>
            <w14:solidFill>
              <w14:schemeClr w14:val="tx1"/>
            </w14:solidFill>
          </w14:textFill>
        </w:rPr>
        <w:t xml:space="preserve">Управления </w:t>
      </w:r>
      <w:r>
        <w:rPr>
          <w:rFonts w:ascii="Times New Roman" w:hAnsi="Times New Roman" w:cs="Times New Roman"/>
          <w:color w:val="000000" w:themeColor="text1"/>
          <w:sz w:val="24"/>
          <w:szCs w:val="24"/>
          <w:lang w:val="ru-RU"/>
          <w14:textFill>
            <w14:solidFill>
              <w14:schemeClr w14:val="tx1"/>
            </w14:solidFill>
          </w14:textFill>
        </w:rPr>
        <w:t>образованием</w:t>
      </w:r>
      <w:r>
        <w:rPr>
          <w:rFonts w:ascii="Times New Roman" w:hAnsi="Times New Roman" w:cs="Times New Roman"/>
          <w:color w:val="000000" w:themeColor="text1"/>
          <w:sz w:val="24"/>
          <w:szCs w:val="24"/>
          <w14:textFill>
            <w14:solidFill>
              <w14:schemeClr w14:val="tx1"/>
            </w14:solidFill>
          </w14:textFill>
        </w:rPr>
        <w:t xml:space="preserve"> администрации МО «Ахтубинский район» главный бухгалтер обеспечивает составление отчета об исполнении бюджетов денежных средств и смет расходов, подготовку необходимой бухгалтерской и статистической отчетности, предоставляет их в финансовое управление в установленные сроки.</w:t>
      </w:r>
    </w:p>
    <w:p w14:paraId="313B41CB">
      <w:pPr>
        <w:tabs>
          <w:tab w:val="left" w:pos="0"/>
        </w:tabs>
        <w:autoSpaceDE w:val="0"/>
        <w:autoSpaceDN w:val="0"/>
        <w:adjustRightInd w:val="0"/>
        <w:spacing w:after="0" w:line="240" w:lineRule="auto"/>
        <w:ind w:firstLine="567"/>
        <w:jc w:val="both"/>
        <w:rPr>
          <w:rFonts w:ascii="Times New Roman" w:hAnsi="Times New Roman"/>
          <w:i/>
          <w:iCs/>
          <w:sz w:val="24"/>
          <w:szCs w:val="24"/>
        </w:rPr>
      </w:pPr>
      <w:r>
        <w:rPr>
          <w:rFonts w:ascii="Times New Roman" w:hAnsi="Times New Roman"/>
          <w:i/>
          <w:iCs/>
          <w:sz w:val="24"/>
          <w:szCs w:val="24"/>
        </w:rPr>
        <w:t>В отношении ответственного лица - главного бухгалтера Каменевой И.Н. возбуждается производство об административном правонарушении, предусмотренном ч.4 ст. 15.15.6 КоАП РФ.</w:t>
      </w:r>
    </w:p>
    <w:p w14:paraId="22E53E62">
      <w:pPr>
        <w:spacing w:after="0" w:line="240" w:lineRule="auto"/>
        <w:ind w:firstLine="240" w:firstLineChars="200"/>
        <w:jc w:val="both"/>
        <w:rPr>
          <w:rFonts w:ascii="Times New Roman" w:hAnsi="Times New Roman"/>
          <w:color w:val="000000" w:themeColor="text1"/>
          <w:sz w:val="12"/>
          <w:szCs w:val="12"/>
          <w14:textFill>
            <w14:solidFill>
              <w14:schemeClr w14:val="tx1"/>
            </w14:solidFill>
          </w14:textFill>
        </w:rPr>
      </w:pPr>
    </w:p>
    <w:p w14:paraId="5D2BF4E9">
      <w:pPr>
        <w:spacing w:after="0" w:line="240" w:lineRule="auto"/>
        <w:ind w:firstLine="480" w:firstLineChars="20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Контрольно-счетной палатой при проверке ведения учета на забалансовых счетах выявлено:</w:t>
      </w:r>
    </w:p>
    <w:p w14:paraId="133900D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Между Администрацией муниципального образования «Городское поселение поселок Верхний Баскунчак Ахтубинского района Астраханской области» и МКОУ "Средняя общеобразовательная школа №11 МО "Ахтубинский район" заключены договора безвозмездного пользования земельным участком:</w:t>
      </w:r>
    </w:p>
    <w:p w14:paraId="00369C36">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договор от 31.03.2024г. №02-бп-2024 на земельный участок по адресу: Астраханская область, Ахтубинский район, п.В.Баскунчак, ул.Советская,36 с кадастровым номером №30:01:030102:672, срок использования с 21.03.2024г. по 20.03.2025г.;</w:t>
      </w:r>
    </w:p>
    <w:p w14:paraId="6D68BAAA">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договор от 29.03.2024г. №04-бп-2024 на земельный участок по адресу: Астраханская область, Ахтубинский район, п.В.Баскунчак, пер. Чапаева, 16 с кадастровым номером №30:01:030103:268, срок использования с 29.03.2024г. по 28.03.2025г.;</w:t>
      </w:r>
    </w:p>
    <w:p w14:paraId="0872A318">
      <w:pPr>
        <w:spacing w:after="72" w:afterLines="3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договор от 31.03.2024г. №03-бп-2024 на земельный участок по адресу: Астраханская область, Ахтубинский район, п.В.Баскунчак, ул.Мира, 7а, с кадастровым номером №30:01:030102:679, срок использования с 21.03.2024г. по 20.03.2025г.</w:t>
      </w:r>
    </w:p>
    <w:p w14:paraId="65B5F2C2">
      <w:pPr>
        <w:spacing w:after="72" w:afterLines="30" w:line="240" w:lineRule="auto"/>
        <w:ind w:firstLine="480" w:firstLineChars="20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 соответствии с п.12 СГС №258н имущество, полученное в срочное безвозмездное пользование, имеет признаки «операционной аренды». Согласно п.41.1 Инструкции №162н поступление основных средств, непроизведенных активов, относящихся к операционной аренде на льготных условиях, в соответствии с договором, в безвозмездное срочное пользование отражается учреждением (пользователем) по дебету соответствующих счетов аналитического учета счета 0.111.40000 «Права пользования нефинансовыми активами» и кредиту соответствующих счетов аналитического учета счета 0.302.2400 «Расчёты по арендной плате за пользование имуществом».</w:t>
      </w:r>
    </w:p>
    <w:p w14:paraId="553ABAB5">
      <w:pPr>
        <w:spacing w:after="72" w:afterLines="30" w:line="240" w:lineRule="auto"/>
        <w:ind w:firstLine="480" w:firstLineChars="200"/>
        <w:jc w:val="both"/>
        <w:rPr>
          <w:rFonts w:ascii="Times New Roman" w:hAnsi="Times New Roman"/>
          <w:i/>
          <w:iCs/>
          <w:color w:val="000000" w:themeColor="text1"/>
          <w:sz w:val="24"/>
          <w:szCs w:val="24"/>
          <w14:textFill>
            <w14:solidFill>
              <w14:schemeClr w14:val="tx1"/>
            </w14:solidFill>
          </w14:textFill>
        </w:rPr>
      </w:pPr>
      <w:r>
        <w:rPr>
          <w:rFonts w:ascii="Times New Roman" w:hAnsi="Times New Roman"/>
          <w:i/>
          <w:iCs/>
          <w:color w:val="000000" w:themeColor="text1"/>
          <w:sz w:val="24"/>
          <w:szCs w:val="24"/>
          <w14:textFill>
            <w14:solidFill>
              <w14:schemeClr w14:val="tx1"/>
            </w14:solidFill>
          </w14:textFill>
        </w:rPr>
        <w:t>В нарушение п.333 Инструкции №157н земельные участки общей кадастровой стоимостью 1228522,13 руб., полученные в срочное безвозмездное пользование и имеющие признаки «операционной аренды» ошибочно учитываются на забалансовом счете 01 «Имущество, полученное в пользование».</w:t>
      </w:r>
    </w:p>
    <w:p w14:paraId="64AF79AB">
      <w:pPr>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При сопоставлении данных Баланса (ф.0503130) с показателями формы 0503168 «Сведения о движении нефинансовых активов» и формы 0503169 «Сведения по дебиторской и кредиторской задолженности» расхождений не установлено.</w:t>
      </w:r>
    </w:p>
    <w:p w14:paraId="43D243BF">
      <w:pPr>
        <w:spacing w:after="72" w:afterLines="3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При проверке контрольных соотношений показателей между формами отчетности, а именно Баланса (ф.0503130) и ф.0503110, ф.0503121, ф.0503168, ф.0503169 расхождения не установлены.</w:t>
      </w:r>
    </w:p>
    <w:p w14:paraId="653D1213">
      <w:pPr>
        <w:spacing w:after="0" w:line="240"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4.8.</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b/>
          <w:color w:val="000000" w:themeColor="text1"/>
          <w:sz w:val="24"/>
          <w:szCs w:val="24"/>
          <w14:textFill>
            <w14:solidFill>
              <w14:schemeClr w14:val="tx1"/>
            </w14:solidFill>
          </w14:textFill>
        </w:rPr>
        <w:t>Пояснительная записка (ф.0503160)</w:t>
      </w:r>
    </w:p>
    <w:p w14:paraId="5EE0D9E4">
      <w:pPr>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соответствии с п.152 Инструкции №191н пояснительная записка составлена в разрезе следующих разделов:</w:t>
      </w:r>
    </w:p>
    <w:p w14:paraId="40B2D49A">
      <w:pPr>
        <w:spacing w:after="0" w:line="240" w:lineRule="auto"/>
        <w:ind w:firstLine="567"/>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Раздел 1 «Организационная структура субъекта бюджетной отчетности» содержит:</w:t>
      </w:r>
    </w:p>
    <w:p w14:paraId="52BE6E92">
      <w:pPr>
        <w:autoSpaceDE w:val="0"/>
        <w:autoSpaceDN w:val="0"/>
        <w:adjustRightInd w:val="0"/>
        <w:spacing w:after="0" w:line="240"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Сведения о наличии 41 подведомственных учреждения: 23 общеобразовательные школы, 15 детских дошкольных учреждений, 1 учреждение дополнительного образования, 2 прочих учреждения.</w:t>
      </w:r>
    </w:p>
    <w:p w14:paraId="1644B850">
      <w:pPr>
        <w:autoSpaceDE w:val="0"/>
        <w:autoSpaceDN w:val="0"/>
        <w:adjustRightInd w:val="0"/>
        <w:spacing w:after="0" w:line="240"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Сведения о централизованной бухгалтерии – отражена информация о наличии договора о ведении бухгалтерского учёта от 22.01.2021г. №33.</w:t>
      </w:r>
    </w:p>
    <w:p w14:paraId="5812FAF6">
      <w:pPr>
        <w:autoSpaceDE w:val="0"/>
        <w:autoSpaceDN w:val="0"/>
        <w:adjustRightInd w:val="0"/>
        <w:spacing w:after="72" w:afterLines="3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Сведения об организационной структуре субъекта бюджетной отчетности (Таблица №11) предоставлена согласно п.159.4 Инструкции №191н.</w:t>
      </w:r>
    </w:p>
    <w:p w14:paraId="036A1349">
      <w:pPr>
        <w:autoSpaceDE w:val="0"/>
        <w:autoSpaceDN w:val="0"/>
        <w:adjustRightInd w:val="0"/>
        <w:spacing w:after="0" w:line="240" w:lineRule="auto"/>
        <w:ind w:firstLine="567"/>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Раздел 2 «Результаты деятельности субъекта бюджетной отчетности»:</w:t>
      </w:r>
    </w:p>
    <w:p w14:paraId="4D0A080B">
      <w:pPr>
        <w:autoSpaceDE w:val="0"/>
        <w:autoSpaceDN w:val="0"/>
        <w:adjustRightInd w:val="0"/>
        <w:spacing w:after="0" w:line="240"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Представлены сведения о результатах деятельности субъекта бюджетной отчетности (Таблица №12) </w:t>
      </w:r>
      <w:r>
        <w:rPr>
          <w:rFonts w:ascii="Times New Roman" w:hAnsi="Times New Roman" w:eastAsia="Times New Roman"/>
          <w:color w:val="000000" w:themeColor="text1"/>
          <w:sz w:val="24"/>
          <w:szCs w:val="24"/>
          <w14:textFill>
            <w14:solidFill>
              <w14:schemeClr w14:val="tx1"/>
            </w14:solidFill>
          </w14:textFill>
        </w:rPr>
        <w:t xml:space="preserve">согласно п.159.5 Инструкции №191н. </w:t>
      </w:r>
    </w:p>
    <w:p w14:paraId="55C98AE3">
      <w:pPr>
        <w:autoSpaceDE w:val="0"/>
        <w:autoSpaceDN w:val="0"/>
        <w:adjustRightInd w:val="0"/>
        <w:spacing w:after="72" w:afterLines="3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таблице №12 по строке 011 в графе 4 «Значение» вместо балансовой стоимости объектов основных средств, находящихся в эксплуатации и имеющих нулевую остаточную стоимость, проставлена остаточная сумма основных средств (177616,50 тыс. руб.) и отсутствует заполнение по остальным строкам таблицы.</w:t>
      </w:r>
    </w:p>
    <w:p w14:paraId="28877F29">
      <w:pPr>
        <w:autoSpaceDE w:val="0"/>
        <w:autoSpaceDN w:val="0"/>
        <w:adjustRightInd w:val="0"/>
        <w:spacing w:after="72" w:afterLines="30" w:line="240" w:lineRule="auto"/>
        <w:ind w:firstLine="567"/>
        <w:jc w:val="both"/>
        <w:rPr>
          <w:rFonts w:ascii="Times New Roman" w:hAnsi="Times New Roman" w:cs="Times New Roman"/>
          <w:i/>
          <w:iCs/>
          <w:color w:val="000000" w:themeColor="text1"/>
          <w:sz w:val="24"/>
          <w:szCs w:val="24"/>
          <w14:textFill>
            <w14:solidFill>
              <w14:schemeClr w14:val="tx1"/>
            </w14:solidFill>
          </w14:textFill>
        </w:rPr>
      </w:pPr>
      <w:r>
        <w:rPr>
          <w:rFonts w:ascii="Times New Roman" w:hAnsi="Times New Roman" w:cs="Times New Roman"/>
          <w:i/>
          <w:iCs/>
          <w:color w:val="000000" w:themeColor="text1"/>
          <w:sz w:val="24"/>
          <w:szCs w:val="24"/>
          <w14:textFill>
            <w14:solidFill>
              <w14:schemeClr w14:val="tx1"/>
            </w14:solidFill>
          </w14:textFill>
        </w:rPr>
        <w:t>В нарушение п.159.5 Инструкции №191н таблица №12 составлена неверно.</w:t>
      </w:r>
    </w:p>
    <w:p w14:paraId="2F4CD1DF">
      <w:pPr>
        <w:autoSpaceDE w:val="0"/>
        <w:autoSpaceDN w:val="0"/>
        <w:adjustRightInd w:val="0"/>
        <w:spacing w:after="0" w:line="240" w:lineRule="auto"/>
        <w:ind w:firstLine="567"/>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Раздел 3 «Анализ отчета об исполнении бюджета субъектом бюджетной отчетности» содержит:</w:t>
      </w:r>
    </w:p>
    <w:p w14:paraId="4B77180E">
      <w:pPr>
        <w:spacing w:after="0" w:line="240" w:lineRule="auto"/>
        <w:ind w:firstLine="53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Сведения об исполнении бюджета (ф.0503164) составлены на основе показателей отчета об исполнении бюджета (ф.0503127), процент исполнения по доходам составил – 106,07%, по расходам - 98,96%. </w:t>
      </w:r>
    </w:p>
    <w:p w14:paraId="08B2AE06">
      <w:pPr>
        <w:autoSpaceDE w:val="0"/>
        <w:autoSpaceDN w:val="0"/>
        <w:adjustRightInd w:val="0"/>
        <w:spacing w:after="72" w:afterLines="30" w:line="240" w:lineRule="auto"/>
        <w:ind w:firstLine="567"/>
        <w:jc w:val="both"/>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Анализ отчета об исполнении бюджета субъектом бюджетной отчетности (Таблица №13) </w:t>
      </w:r>
      <w:r>
        <w:rPr>
          <w:rFonts w:ascii="Times New Roman" w:hAnsi="Times New Roman" w:eastAsia="Times New Roman"/>
          <w:color w:val="000000" w:themeColor="text1"/>
          <w:sz w:val="24"/>
          <w:szCs w:val="24"/>
          <w14:textFill>
            <w14:solidFill>
              <w14:schemeClr w14:val="tx1"/>
            </w14:solidFill>
          </w14:textFill>
        </w:rPr>
        <w:t>представлен в соответствие с п.159.6 Инструкции №191н. Содержит аналитическую информацию об исполнении бюджета в соответствии с показателями и причинами отклонений неисполненных назначений. Замечаний не выявлено.</w:t>
      </w:r>
    </w:p>
    <w:p w14:paraId="7AF0B1B0">
      <w:pPr>
        <w:autoSpaceDE w:val="0"/>
        <w:autoSpaceDN w:val="0"/>
        <w:adjustRightInd w:val="0"/>
        <w:spacing w:after="0" w:line="240" w:lineRule="auto"/>
        <w:ind w:firstLine="567"/>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Раздел 4 «Анализ показателей бухгалтерской отчетности субъекта бюджетной отчетности»</w:t>
      </w:r>
    </w:p>
    <w:p w14:paraId="7F9465AF">
      <w:pPr>
        <w:pStyle w:val="16"/>
        <w:tabs>
          <w:tab w:val="left" w:pos="284"/>
        </w:tabs>
        <w:autoSpaceDE w:val="0"/>
        <w:autoSpaceDN w:val="0"/>
        <w:adjustRightInd w:val="0"/>
        <w:spacing w:after="0" w:line="240" w:lineRule="auto"/>
        <w:ind w:left="0"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 соответствии с п.166 Инструкции №191н Сведения о движении нефинансовых активов (ф.0503168) содержат обобщенную информацию за 2024 год о движении нефинансовых активов.</w:t>
      </w:r>
    </w:p>
    <w:p w14:paraId="31639C09">
      <w:pPr>
        <w:pStyle w:val="16"/>
        <w:tabs>
          <w:tab w:val="left" w:pos="284"/>
        </w:tabs>
        <w:autoSpaceDE w:val="0"/>
        <w:autoSpaceDN w:val="0"/>
        <w:adjustRightInd w:val="0"/>
        <w:spacing w:after="0" w:line="240" w:lineRule="auto"/>
        <w:ind w:left="0"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При проведении сверки ф.0503168 «Сведения о движении нефинансовых активов» и Баланса (ф.0503130) за 2024 год входящих и исходящих остатков установлено, что входящие остатки на 01.01.2024 и на 01.01.2025 соответствуют друг другу.</w:t>
      </w:r>
    </w:p>
    <w:p w14:paraId="54CA10AD">
      <w:pPr>
        <w:pStyle w:val="16"/>
        <w:tabs>
          <w:tab w:val="left" w:pos="284"/>
        </w:tabs>
        <w:autoSpaceDE w:val="0"/>
        <w:autoSpaceDN w:val="0"/>
        <w:adjustRightInd w:val="0"/>
        <w:spacing w:after="0" w:line="240" w:lineRule="auto"/>
        <w:ind w:left="0"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Показатели строк 010 «Основные средства», 050 «Амортизация основных средств», 070 «Вложения в основные средства», 150 «Непроизведенные активы», 190 «Материальные запасы» гр.4 «Наличие на начало года», и гр.11 «Наличие на конец года» ф.0503168 соответствуют данным ф.0503130.</w:t>
      </w:r>
    </w:p>
    <w:p w14:paraId="19E3B4DF">
      <w:pPr>
        <w:pStyle w:val="16"/>
        <w:tabs>
          <w:tab w:val="left" w:pos="284"/>
        </w:tabs>
        <w:autoSpaceDE w:val="0"/>
        <w:autoSpaceDN w:val="0"/>
        <w:adjustRightInd w:val="0"/>
        <w:spacing w:after="0" w:line="240" w:lineRule="auto"/>
        <w:ind w:left="0"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В </w:t>
      </w:r>
      <w:r>
        <w:rPr>
          <w:rFonts w:ascii="Times New Roman" w:hAnsi="Times New Roman" w:cs="Times New Roman"/>
          <w:color w:val="000000" w:themeColor="text1"/>
          <w:sz w:val="24"/>
          <w:szCs w:val="24"/>
          <w14:textFill>
            <w14:solidFill>
              <w14:schemeClr w14:val="tx1"/>
            </w14:solidFill>
          </w14:textFill>
        </w:rPr>
        <w:t xml:space="preserve">соответствии с п.167 Инструкции №191н </w:t>
      </w:r>
      <w:r>
        <w:rPr>
          <w:rFonts w:ascii="Times New Roman" w:hAnsi="Times New Roman"/>
          <w:color w:val="000000" w:themeColor="text1"/>
          <w:sz w:val="24"/>
          <w:szCs w:val="24"/>
          <w14:textFill>
            <w14:solidFill>
              <w14:schemeClr w14:val="tx1"/>
            </w14:solidFill>
          </w14:textFill>
        </w:rPr>
        <w:t>Сведения по дебиторской и кредиторской задолженности (ф.0503169) содержат обобщенные за отчетный период данные о состоянии расчетов по дебиторской и кредиторской задолженности субъекта бюджетной отчетности в разрезе видов расчетов.</w:t>
      </w:r>
    </w:p>
    <w:p w14:paraId="3F3EE4E4">
      <w:pPr>
        <w:autoSpaceDE w:val="0"/>
        <w:autoSpaceDN w:val="0"/>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Дебиторская задолженность</w:t>
      </w:r>
      <w:r>
        <w:rPr>
          <w:rFonts w:ascii="Times New Roman" w:hAnsi="Times New Roman" w:cs="Times New Roman"/>
          <w:color w:val="000000" w:themeColor="text1"/>
          <w:sz w:val="24"/>
          <w:szCs w:val="24"/>
          <w14:textFill>
            <w14:solidFill>
              <w14:schemeClr w14:val="tx1"/>
            </w14:solidFill>
          </w14:textFill>
        </w:rPr>
        <w:t xml:space="preserve"> по </w:t>
      </w:r>
      <w:r>
        <w:rPr>
          <w:rFonts w:ascii="Times New Roman" w:hAnsi="Times New Roman" w:cs="Times New Roman"/>
          <w:color w:val="000000" w:themeColor="text1"/>
          <w:sz w:val="24"/>
          <w:szCs w:val="24"/>
          <w:u w:val="single"/>
          <w14:textFill>
            <w14:solidFill>
              <w14:schemeClr w14:val="tx1"/>
            </w14:solidFill>
          </w14:textFill>
        </w:rPr>
        <w:t>доходам</w:t>
      </w:r>
      <w:r>
        <w:rPr>
          <w:rFonts w:ascii="Times New Roman" w:hAnsi="Times New Roman" w:cs="Times New Roman"/>
          <w:color w:val="000000" w:themeColor="text1"/>
          <w:sz w:val="24"/>
          <w:szCs w:val="24"/>
          <w14:textFill>
            <w14:solidFill>
              <w14:schemeClr w14:val="tx1"/>
            </w14:solidFill>
          </w14:textFill>
        </w:rPr>
        <w:t xml:space="preserve"> на 01.01.2025г. (сч.0.205.00, 0.209.00) составила 1520764,70 руб. и соответствуют данным стр.250 Баланса (ф.0503130).</w:t>
      </w:r>
    </w:p>
    <w:p w14:paraId="411E6C1F">
      <w:pPr>
        <w:autoSpaceDE w:val="0"/>
        <w:autoSpaceDN w:val="0"/>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Дебиторская задолженность по </w:t>
      </w:r>
      <w:r>
        <w:rPr>
          <w:rFonts w:ascii="Times New Roman" w:hAnsi="Times New Roman" w:cs="Times New Roman"/>
          <w:color w:val="000000" w:themeColor="text1"/>
          <w:sz w:val="24"/>
          <w:szCs w:val="24"/>
          <w:u w:val="single"/>
          <w14:textFill>
            <w14:solidFill>
              <w14:schemeClr w14:val="tx1"/>
            </w14:solidFill>
          </w14:textFill>
        </w:rPr>
        <w:t>выплатам</w:t>
      </w:r>
      <w:r>
        <w:rPr>
          <w:rFonts w:ascii="Times New Roman" w:hAnsi="Times New Roman" w:cs="Times New Roman"/>
          <w:color w:val="000000" w:themeColor="text1"/>
          <w:sz w:val="24"/>
          <w:szCs w:val="24"/>
          <w14:textFill>
            <w14:solidFill>
              <w14:schemeClr w14:val="tx1"/>
            </w14:solidFill>
          </w14:textFill>
        </w:rPr>
        <w:t xml:space="preserve"> на 01.01.2025г. (0.206.00, 0.208.00, 0.303.00) составила 664846,10 руб. и соответствуют данным стр.260 Баланса (ф.0503130).</w:t>
      </w:r>
    </w:p>
    <w:p w14:paraId="0D9FB60B">
      <w:pPr>
        <w:pStyle w:val="16"/>
        <w:tabs>
          <w:tab w:val="left" w:pos="284"/>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просроченной дебиторской задолженности отсутствуют.</w:t>
      </w:r>
    </w:p>
    <w:p w14:paraId="17589336">
      <w:pPr>
        <w:pStyle w:val="16"/>
        <w:tabs>
          <w:tab w:val="left" w:pos="284"/>
        </w:tabs>
        <w:autoSpaceDE w:val="0"/>
        <w:autoSpaceDN w:val="0"/>
        <w:adjustRightInd w:val="0"/>
        <w:spacing w:after="0" w:line="240" w:lineRule="auto"/>
        <w:ind w:left="0" w:firstLine="567"/>
        <w:jc w:val="both"/>
        <w:rPr>
          <w:rFonts w:ascii="Times New Roman" w:hAnsi="Times New Roman" w:cs="Times New Roman"/>
          <w:color w:val="376092" w:themeColor="accent1" w:themeShade="BF"/>
          <w:sz w:val="12"/>
          <w:szCs w:val="12"/>
        </w:rPr>
      </w:pPr>
    </w:p>
    <w:p w14:paraId="57530C3B">
      <w:pPr>
        <w:autoSpaceDE w:val="0"/>
        <w:autoSpaceDN w:val="0"/>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Кредиторская задолженность </w:t>
      </w:r>
      <w:r>
        <w:rPr>
          <w:rFonts w:ascii="Times New Roman" w:hAnsi="Times New Roman" w:cs="Times New Roman"/>
          <w:color w:val="000000" w:themeColor="text1"/>
          <w:sz w:val="24"/>
          <w:szCs w:val="24"/>
          <w14:textFill>
            <w14:solidFill>
              <w14:schemeClr w14:val="tx1"/>
            </w14:solidFill>
          </w14:textFill>
        </w:rPr>
        <w:t>по выплатам на 01.01.2025г. (сч.0.302.00, 0.208.00, 0.304.02, 0.304.03) составила 1008855,74 руб. и соответствуют данным стр.410 Баланса (ф.0503130).</w:t>
      </w:r>
    </w:p>
    <w:p w14:paraId="65150B7B">
      <w:pPr>
        <w:autoSpaceDE w:val="0"/>
        <w:autoSpaceDN w:val="0"/>
        <w:adjustRightInd w:val="0"/>
        <w:spacing w:after="0" w:line="240"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Кредиторская задолженность по доходам на 01.04.2025г. </w:t>
      </w:r>
      <w:r>
        <w:rPr>
          <w:rFonts w:ascii="Times New Roman" w:hAnsi="Times New Roman"/>
          <w:color w:val="000000" w:themeColor="text1"/>
          <w:sz w:val="24"/>
          <w:szCs w:val="24"/>
          <w14:textFill>
            <w14:solidFill>
              <w14:schemeClr w14:val="tx1"/>
            </w14:solidFill>
          </w14:textFill>
        </w:rPr>
        <w:t>(0.205.00, 0.209.00) составила 4034015,60 руб. и соответствуют данным стр.470 Баланса (ф.0503130).</w:t>
      </w:r>
    </w:p>
    <w:p w14:paraId="42A19D81">
      <w:pPr>
        <w:autoSpaceDE w:val="0"/>
        <w:autoSpaceDN w:val="0"/>
        <w:adjustRightInd w:val="0"/>
        <w:spacing w:after="0" w:line="240" w:lineRule="auto"/>
        <w:ind w:firstLine="567"/>
        <w:jc w:val="both"/>
        <w:rPr>
          <w:rFonts w:ascii="Times New Roman" w:hAnsi="Times New Roman"/>
          <w:color w:val="376092" w:themeColor="accent1" w:themeShade="BF"/>
          <w:sz w:val="12"/>
          <w:szCs w:val="12"/>
        </w:rPr>
      </w:pPr>
    </w:p>
    <w:p w14:paraId="3463DC42">
      <w:pPr>
        <w:autoSpaceDE w:val="0"/>
        <w:autoSpaceDN w:val="0"/>
        <w:adjustRightInd w:val="0"/>
        <w:spacing w:after="0" w:line="240"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Расчеты по платежам в бюджеты (0.303.00) составили 0,00 руб. и соответствуют данным стр.420 Баланса (ф.0503130).</w:t>
      </w:r>
    </w:p>
    <w:p w14:paraId="433C6765">
      <w:pPr>
        <w:autoSpaceDE w:val="0"/>
        <w:autoSpaceDN w:val="0"/>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Доходы будущих периодов сч.1.401.40 - </w:t>
      </w:r>
      <w:r>
        <w:rPr>
          <w:rFonts w:ascii="Times New Roman" w:hAnsi="Times New Roman"/>
          <w:color w:val="000000" w:themeColor="text1"/>
          <w:sz w:val="24"/>
          <w:szCs w:val="24"/>
          <w14:textFill>
            <w14:solidFill>
              <w14:schemeClr w14:val="tx1"/>
            </w14:solidFill>
          </w14:textFill>
        </w:rPr>
        <w:t>358594,23</w:t>
      </w:r>
      <w:r>
        <w:rPr>
          <w:rFonts w:ascii="Times New Roman" w:hAnsi="Times New Roman" w:cs="Times New Roman"/>
          <w:color w:val="000000" w:themeColor="text1"/>
          <w:sz w:val="24"/>
          <w:szCs w:val="24"/>
          <w14:textFill>
            <w14:solidFill>
              <w14:schemeClr w14:val="tx1"/>
            </w14:solidFill>
          </w14:textFill>
        </w:rPr>
        <w:t xml:space="preserve"> руб. и соответствуют данным стр.510 Баланса (ф.0503130).</w:t>
      </w:r>
    </w:p>
    <w:p w14:paraId="5B9C10DA">
      <w:pPr>
        <w:autoSpaceDE w:val="0"/>
        <w:autoSpaceDN w:val="0"/>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Резервы предстоящих расходов сч.1.401.60 - 27384718,75 руб. и соответствуют данным стр.520 Баланса (ф.0503130).</w:t>
      </w:r>
    </w:p>
    <w:p w14:paraId="59FAA055">
      <w:pPr>
        <w:autoSpaceDE w:val="0"/>
        <w:autoSpaceDN w:val="0"/>
        <w:adjustRightInd w:val="0"/>
        <w:spacing w:after="72" w:afterLines="3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просроченной кредиторской задолженности отсутствуют.</w:t>
      </w:r>
    </w:p>
    <w:p w14:paraId="7EF2ABFC">
      <w:pPr>
        <w:autoSpaceDE w:val="0"/>
        <w:autoSpaceDN w:val="0"/>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В соответствии с п.170 Инструкции №191н Сведения об изменении остатков валюты баланса (ф.0503173) содержат обобщенные за 2024 год данные об изменении показателей на начало отчетного периода вступительного баланса ГРБС и баланса исполнения бюджета. </w:t>
      </w:r>
    </w:p>
    <w:p w14:paraId="1CE3D0E5">
      <w:pPr>
        <w:autoSpaceDE w:val="0"/>
        <w:autoSpaceDN w:val="0"/>
        <w:adjustRightInd w:val="0"/>
        <w:spacing w:after="0" w:line="240"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соответствии с п.170.2 Инструкции №191н</w:t>
      </w:r>
      <w:r>
        <w:rPr>
          <w:rFonts w:ascii="Times New Roman" w:hAnsi="Times New Roman"/>
          <w:color w:val="000000" w:themeColor="text1"/>
          <w:sz w:val="24"/>
          <w:szCs w:val="24"/>
          <w14:textFill>
            <w14:solidFill>
              <w14:schemeClr w14:val="tx1"/>
            </w14:solidFill>
          </w14:textFill>
        </w:rPr>
        <w:t xml:space="preserve"> Сведения о принятых и неисполненных обязательствах получателя бюджетных средств (ф.0503175) </w:t>
      </w:r>
      <w:r>
        <w:rPr>
          <w:rFonts w:ascii="Times New Roman" w:hAnsi="Times New Roman" w:cs="Times New Roman"/>
          <w:color w:val="000000" w:themeColor="text1"/>
          <w:sz w:val="24"/>
          <w:szCs w:val="24"/>
          <w14:textFill>
            <w14:solidFill>
              <w14:schemeClr w14:val="tx1"/>
            </w14:solidFill>
          </w14:textFill>
        </w:rPr>
        <w:t>содержат аналитические данные о неисполненных бюджетных обязательствах (5276512,95 руб.), которые соответствуют показателям</w:t>
      </w:r>
      <w:r>
        <w:rPr>
          <w:rFonts w:ascii="Times New Roman" w:hAnsi="Times New Roman"/>
          <w:color w:val="000000" w:themeColor="text1"/>
          <w:sz w:val="24"/>
          <w:szCs w:val="24"/>
          <w14:textFill>
            <w14:solidFill>
              <w14:schemeClr w14:val="tx1"/>
            </w14:solidFill>
          </w14:textFill>
        </w:rPr>
        <w:t xml:space="preserve"> гр. 11 отчета (ф.0503128).</w:t>
      </w:r>
    </w:p>
    <w:p w14:paraId="1C1EB7B0">
      <w:pPr>
        <w:autoSpaceDE w:val="0"/>
        <w:autoSpaceDN w:val="0"/>
        <w:adjustRightInd w:val="0"/>
        <w:spacing w:after="0" w:line="240"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Данные о неисполненных денежных обязательствах (ф.0503175) составляют 1 008 855,74 руб. и не соответствую данным гр.12 ф.0503128. Расхождение составляет 5054,76 руб. В связи с превышением кассового исполнения над принятыми денежными обязательствами.</w:t>
      </w:r>
    </w:p>
    <w:p w14:paraId="563CF18F">
      <w:pPr>
        <w:autoSpaceDE w:val="0"/>
        <w:autoSpaceDN w:val="0"/>
        <w:adjustRightInd w:val="0"/>
        <w:spacing w:after="72" w:afterLines="30" w:line="240" w:lineRule="auto"/>
        <w:ind w:firstLine="567"/>
        <w:jc w:val="both"/>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Анализ показателей отчетности субъекта бюджетной отчетности (Таблица №14) </w:t>
      </w:r>
      <w:r>
        <w:rPr>
          <w:rFonts w:ascii="Times New Roman" w:hAnsi="Times New Roman" w:eastAsia="Times New Roman"/>
          <w:color w:val="000000" w:themeColor="text1"/>
          <w:sz w:val="24"/>
          <w:szCs w:val="24"/>
          <w14:textFill>
            <w14:solidFill>
              <w14:schemeClr w14:val="tx1"/>
            </w14:solidFill>
          </w14:textFill>
        </w:rPr>
        <w:t>представлен ГРБС согласно п.159.7 Инструкции №191н. Содержит аналитическую информацию, характеризующую показатели бюджетной отчетности субъекта бюджетной отчетности, в том числе информацию о некассовых операциях, отраженных в Отчете (ф.0503127).</w:t>
      </w:r>
    </w:p>
    <w:p w14:paraId="3C1EE194">
      <w:pPr>
        <w:autoSpaceDE w:val="0"/>
        <w:autoSpaceDN w:val="0"/>
        <w:adjustRightInd w:val="0"/>
        <w:spacing w:after="0" w:line="240"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Раздел 5 «Прочие вопросы деятельности субъекта бюджетной отчетности» содержит:</w:t>
      </w:r>
    </w:p>
    <w:p w14:paraId="10136681">
      <w:pPr>
        <w:spacing w:after="0" w:line="240" w:lineRule="auto"/>
        <w:ind w:firstLine="53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Сведения об основных положениях учетной политики (Таблица №4) представлены в соответствии с пунктом 156 Инструкции №191н. </w:t>
      </w:r>
    </w:p>
    <w:p w14:paraId="64B01DF8">
      <w:pPr>
        <w:spacing w:after="0" w:line="240" w:lineRule="auto"/>
        <w:ind w:firstLine="53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Сведения об исполнении судебных решений по денежным обязательствам бюджета (ф.0503296) - в соответствии с п.174 Инструкции №191н по строке 010 Сведений (ф.0503296) отражаются суммы по судебным решениям судов судебной системы Российской Федерации. В течение 2024 года было принято и исполнено по исполнительным документам денежных обязательств на общую сумму 24982,62 руб.</w:t>
      </w:r>
    </w:p>
    <w:p w14:paraId="7BDB38EA">
      <w:pPr>
        <w:autoSpaceDE w:val="0"/>
        <w:autoSpaceDN w:val="0"/>
        <w:adjustRightInd w:val="0"/>
        <w:spacing w:after="72" w:afterLines="30" w:line="240"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Представлена таблица №16 «Прочие вопросы деятельности субъекта бюджетной отчетности» в соответствии с</w:t>
      </w:r>
      <w:r>
        <w:rPr>
          <w:rFonts w:ascii="Times New Roman" w:hAnsi="Times New Roman" w:eastAsia="Times New Roman"/>
          <w:color w:val="000000" w:themeColor="text1"/>
          <w:sz w:val="24"/>
          <w:szCs w:val="24"/>
          <w14:textFill>
            <w14:solidFill>
              <w14:schemeClr w14:val="tx1"/>
            </w14:solidFill>
          </w14:textFill>
        </w:rPr>
        <w:t xml:space="preserve"> п.159.9 Инструкции №191н,</w:t>
      </w:r>
      <w:r>
        <w:rPr>
          <w:rFonts w:ascii="Times New Roman" w:hAnsi="Times New Roman"/>
          <w:color w:val="000000" w:themeColor="text1"/>
          <w:sz w:val="24"/>
          <w:szCs w:val="24"/>
          <w14:textFill>
            <w14:solidFill>
              <w14:schemeClr w14:val="tx1"/>
            </w14:solidFill>
          </w14:textFill>
        </w:rPr>
        <w:t xml:space="preserve"> отражающая перечень форм отчетности, не включенных в состав бюджетной отчетности за отчетный период ввиду отсутствия числовых значений показателей: ф.0603166, ф.0503167, ф.0503172, ф.0503174, ф.0503178.</w:t>
      </w:r>
    </w:p>
    <w:p w14:paraId="60DA1971">
      <w:pPr>
        <w:autoSpaceDE w:val="0"/>
        <w:autoSpaceDN w:val="0"/>
        <w:adjustRightInd w:val="0"/>
        <w:spacing w:after="0" w:line="240"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 строке 040 «Перечень форм отчетности, не включенных в состав бюджетной отчетности за отчетный период ввиду отсутствия числовых значений показателей» не включены таблицы №1, 3, 6, 15, отчет ф.0503171 и излишне указан отчет ф.0503178.</w:t>
      </w:r>
    </w:p>
    <w:p w14:paraId="5791FAC4">
      <w:pPr>
        <w:spacing w:after="0" w:line="240" w:lineRule="auto"/>
        <w:ind w:firstLine="480" w:firstLineChars="200"/>
        <w:jc w:val="both"/>
        <w:rPr>
          <w:rFonts w:ascii="Times New Roman" w:hAnsi="Times New Roman"/>
          <w:i/>
          <w:iCs/>
          <w:color w:val="000000" w:themeColor="text1"/>
          <w:sz w:val="24"/>
          <w:szCs w:val="24"/>
          <w14:textFill>
            <w14:solidFill>
              <w14:schemeClr w14:val="tx1"/>
            </w14:solidFill>
          </w14:textFill>
        </w:rPr>
      </w:pPr>
      <w:r>
        <w:rPr>
          <w:rFonts w:ascii="Times New Roman" w:hAnsi="Times New Roman"/>
          <w:i/>
          <w:iCs/>
          <w:color w:val="000000" w:themeColor="text1"/>
          <w:sz w:val="24"/>
          <w:szCs w:val="24"/>
          <w14:textFill>
            <w14:solidFill>
              <w14:schemeClr w14:val="tx1"/>
            </w14:solidFill>
          </w14:textFill>
        </w:rPr>
        <w:t>В нарушение п.8, п.159.9 Инструкции №191н строка 040 «Перечень форм отчетности, не включенных в состав бюджетной отчетности за отчетный период ввиду отсутствия числовых значений показателей» заполнена некорректно.</w:t>
      </w:r>
    </w:p>
    <w:p w14:paraId="24BE0220">
      <w:pPr>
        <w:spacing w:after="0" w:line="240" w:lineRule="auto"/>
        <w:ind w:firstLine="480" w:firstLineChars="200"/>
        <w:jc w:val="both"/>
        <w:rPr>
          <w:rFonts w:ascii="Times New Roman" w:hAnsi="Times New Roman"/>
          <w:i/>
          <w:iCs/>
          <w:color w:val="000000" w:themeColor="text1"/>
          <w:sz w:val="24"/>
          <w:szCs w:val="24"/>
          <w14:textFill>
            <w14:solidFill>
              <w14:schemeClr w14:val="tx1"/>
            </w14:solidFill>
          </w14:textFill>
        </w:rPr>
      </w:pPr>
    </w:p>
    <w:p w14:paraId="3435AA69">
      <w:pPr>
        <w:spacing w:after="0" w:line="240" w:lineRule="auto"/>
        <w:ind w:firstLine="567"/>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Вывод:</w:t>
      </w:r>
    </w:p>
    <w:p w14:paraId="3DD5C9DB">
      <w:pPr>
        <w:pStyle w:val="16"/>
        <w:numPr>
          <w:ilvl w:val="0"/>
          <w:numId w:val="6"/>
        </w:numPr>
        <w:tabs>
          <w:tab w:val="center" w:pos="0"/>
          <w:tab w:val="left" w:pos="284"/>
          <w:tab w:val="clear" w:pos="425"/>
        </w:tabs>
        <w:autoSpaceDE w:val="0"/>
        <w:autoSpaceDN w:val="0"/>
        <w:adjustRightInd w:val="0"/>
        <w:spacing w:after="0" w:line="240" w:lineRule="auto"/>
        <w:ind w:left="0" w:firstLine="0"/>
        <w:jc w:val="both"/>
        <w:outlineLvl w:val="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Оценка полноты и достоверности бюджетной отчетности во всех существенных отношениях проводилась на выборочной основе. Бюджетная отчетность за 2024 год представлена в срок, соответствует структуре и бюджетной классификации. </w:t>
      </w:r>
    </w:p>
    <w:p w14:paraId="2E3B0C3A">
      <w:pPr>
        <w:pStyle w:val="16"/>
        <w:numPr>
          <w:ilvl w:val="0"/>
          <w:numId w:val="6"/>
        </w:numPr>
        <w:tabs>
          <w:tab w:val="center" w:pos="0"/>
          <w:tab w:val="left" w:pos="284"/>
          <w:tab w:val="clear" w:pos="425"/>
        </w:tabs>
        <w:autoSpaceDE w:val="0"/>
        <w:autoSpaceDN w:val="0"/>
        <w:adjustRightInd w:val="0"/>
        <w:spacing w:after="0" w:line="240" w:lineRule="auto"/>
        <w:ind w:left="0" w:firstLine="0"/>
        <w:jc w:val="both"/>
        <w:outlineLvl w:val="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eastAsia="ru-RU"/>
          <w14:textFill>
            <w14:solidFill>
              <w14:schemeClr w14:val="tx1"/>
            </w14:solidFill>
          </w14:textFill>
        </w:rPr>
        <w:t xml:space="preserve">В нарушение п.59.1, п.70.1 Инструкции №191н дополнительно не сформированы и не предоставлены к проверке Отчет (ф.0503127), содержащий данные о бюджетных назначениях по доходам, расходам, источникам финансирования дефицита бюджета, отражение которых в части графы 4 разделов "Доходы бюджета" и "Источники финансирования дефицита бюджета", граф 4 и 5 раздела "Расходы бюджета" администраторами доходов, получателями средств бюджета, администраторами источников финансирования дефицита бюджета не предусмотрено пунктом 55 Инструкции №191н (Отчет ф.0503127 о бюджетных назначениях) </w:t>
      </w:r>
      <w:r>
        <w:rPr>
          <w:rFonts w:ascii="Times New Roman" w:hAnsi="Times New Roman" w:cs="Times New Roman"/>
          <w:color w:val="000000" w:themeColor="text1"/>
          <w:sz w:val="24"/>
          <w:szCs w:val="24"/>
          <w14:textFill>
            <w14:solidFill>
              <w14:schemeClr w14:val="tx1"/>
            </w14:solidFill>
          </w14:textFill>
        </w:rPr>
        <w:t xml:space="preserve">и Отчет </w:t>
      </w:r>
      <w:r>
        <w:fldChar w:fldCharType="begin"/>
      </w:r>
      <w:r>
        <w:instrText xml:space="preserve"> HYPERLINK "https://login.consultant.ru/link/?req=doc&amp;base=LAW&amp;n=494395&amp;dst=102296" </w:instrText>
      </w:r>
      <w:r>
        <w:fldChar w:fldCharType="separate"/>
      </w:r>
      <w:r>
        <w:rPr>
          <w:rFonts w:ascii="Times New Roman" w:hAnsi="Times New Roman" w:cs="Times New Roman"/>
          <w:color w:val="000000" w:themeColor="text1"/>
          <w:sz w:val="24"/>
          <w:szCs w:val="24"/>
          <w14:textFill>
            <w14:solidFill>
              <w14:schemeClr w14:val="tx1"/>
            </w14:solidFill>
          </w14:textFill>
        </w:rPr>
        <w:t>(ф.0503128)</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 в части </w:t>
      </w:r>
      <w:r>
        <w:fldChar w:fldCharType="begin"/>
      </w:r>
      <w:r>
        <w:instrText xml:space="preserve"> HYPERLINK "https://login.consultant.ru/link/?req=doc&amp;base=LAW&amp;n=494395&amp;dst=16703" </w:instrText>
      </w:r>
      <w:r>
        <w:fldChar w:fldCharType="separate"/>
      </w:r>
      <w:r>
        <w:rPr>
          <w:rFonts w:ascii="Times New Roman" w:hAnsi="Times New Roman" w:cs="Times New Roman"/>
          <w:color w:val="000000" w:themeColor="text1"/>
          <w:sz w:val="24"/>
          <w:szCs w:val="24"/>
          <w14:textFill>
            <w14:solidFill>
              <w14:schemeClr w14:val="tx1"/>
            </w14:solidFill>
          </w14:textFill>
        </w:rPr>
        <w:t>граф 4</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 и </w:t>
      </w:r>
      <w:r>
        <w:fldChar w:fldCharType="begin"/>
      </w:r>
      <w:r>
        <w:instrText xml:space="preserve"> HYPERLINK "https://login.consultant.ru/link/?req=doc&amp;base=LAW&amp;n=494395&amp;dst=16704" </w:instrText>
      </w:r>
      <w:r>
        <w:fldChar w:fldCharType="separate"/>
      </w:r>
      <w:r>
        <w:rPr>
          <w:rFonts w:ascii="Times New Roman" w:hAnsi="Times New Roman" w:cs="Times New Roman"/>
          <w:color w:val="000000" w:themeColor="text1"/>
          <w:sz w:val="24"/>
          <w:szCs w:val="24"/>
          <w14:textFill>
            <w14:solidFill>
              <w14:schemeClr w14:val="tx1"/>
            </w14:solidFill>
          </w14:textFill>
        </w:rPr>
        <w:t>5</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 на суммы нераспределенных бюджетных назначений (Отчет ф.0503128 о бюджетных назначениях).</w:t>
      </w:r>
    </w:p>
    <w:p w14:paraId="332562BC">
      <w:pPr>
        <w:pStyle w:val="16"/>
        <w:numPr>
          <w:ilvl w:val="0"/>
          <w:numId w:val="6"/>
        </w:numPr>
        <w:tabs>
          <w:tab w:val="center" w:pos="0"/>
          <w:tab w:val="left" w:pos="284"/>
          <w:tab w:val="clear" w:pos="425"/>
        </w:tabs>
        <w:autoSpaceDE w:val="0"/>
        <w:autoSpaceDN w:val="0"/>
        <w:adjustRightInd w:val="0"/>
        <w:spacing w:after="0" w:line="240" w:lineRule="auto"/>
        <w:ind w:left="0" w:firstLine="0"/>
        <w:jc w:val="both"/>
        <w:outlineLvl w:val="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В нарушение ст.11 ФЗ №402-ФЗ, </w:t>
      </w:r>
      <w:r>
        <w:fldChar w:fldCharType="begin"/>
      </w:r>
      <w:r>
        <w:instrText xml:space="preserve"> HYPERLINK "https://login.consultant.ru/link/?req=doc&amp;base=LAW&amp;n=460116&amp;dst=100209" </w:instrText>
      </w:r>
      <w:r>
        <w:fldChar w:fldCharType="separate"/>
      </w:r>
      <w:r>
        <w:rPr>
          <w:rFonts w:ascii="Times New Roman" w:hAnsi="Times New Roman" w:cs="Times New Roman"/>
          <w:color w:val="000000" w:themeColor="text1"/>
          <w:sz w:val="24"/>
          <w:szCs w:val="24"/>
          <w14:textFill>
            <w14:solidFill>
              <w14:schemeClr w14:val="tx1"/>
            </w14:solidFill>
          </w14:textFill>
        </w:rPr>
        <w:t>разд. VIII</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 СГС "Концептуальные основы", п.1.2 приложения «Порядок проведения инвентаризации активов и обязательств» учетной политики Управления </w:t>
      </w:r>
      <w:r>
        <w:rPr>
          <w:rFonts w:ascii="Times New Roman" w:hAnsi="Times New Roman" w:cs="Times New Roman"/>
          <w:color w:val="000000" w:themeColor="text1"/>
          <w:sz w:val="24"/>
          <w:szCs w:val="24"/>
          <w:lang w:val="ru-RU"/>
          <w14:textFill>
            <w14:solidFill>
              <w14:schemeClr w14:val="tx1"/>
            </w14:solidFill>
          </w14:textFill>
        </w:rPr>
        <w:t>образования</w:t>
      </w:r>
      <w:r>
        <w:rPr>
          <w:rFonts w:ascii="Times New Roman" w:hAnsi="Times New Roman" w:cs="Times New Roman"/>
          <w:color w:val="000000" w:themeColor="text1"/>
          <w:sz w:val="24"/>
          <w:szCs w:val="24"/>
          <w14:textFill>
            <w14:solidFill>
              <w14:schemeClr w14:val="tx1"/>
            </w14:solidFill>
          </w14:textFill>
        </w:rPr>
        <w:t xml:space="preserve"> инвентаризация в целях составления годовой бюджетной отчетности проведена не в полном объеме.</w:t>
      </w:r>
    </w:p>
    <w:p w14:paraId="799FEB46">
      <w:pPr>
        <w:pStyle w:val="16"/>
        <w:numPr>
          <w:ilvl w:val="0"/>
          <w:numId w:val="6"/>
        </w:numPr>
        <w:tabs>
          <w:tab w:val="center" w:pos="0"/>
          <w:tab w:val="left" w:pos="284"/>
          <w:tab w:val="clear" w:pos="425"/>
        </w:tabs>
        <w:autoSpaceDE w:val="0"/>
        <w:autoSpaceDN w:val="0"/>
        <w:adjustRightInd w:val="0"/>
        <w:spacing w:after="0" w:line="240" w:lineRule="auto"/>
        <w:ind w:left="0" w:firstLine="0"/>
        <w:jc w:val="both"/>
        <w:outlineLvl w:val="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В нарушение ст.34 БК РФ допущено неэффективное использование бюджетных средств, произведены расходы по уплате штрафов и пени на общую сумму 654818,64 руб. </w:t>
      </w:r>
    </w:p>
    <w:p w14:paraId="34FFCE8B">
      <w:pPr>
        <w:pStyle w:val="16"/>
        <w:numPr>
          <w:ilvl w:val="0"/>
          <w:numId w:val="6"/>
        </w:numPr>
        <w:tabs>
          <w:tab w:val="center" w:pos="0"/>
          <w:tab w:val="left" w:pos="284"/>
          <w:tab w:val="clear" w:pos="425"/>
        </w:tabs>
        <w:autoSpaceDE w:val="0"/>
        <w:autoSpaceDN w:val="0"/>
        <w:adjustRightInd w:val="0"/>
        <w:spacing w:after="0" w:line="240" w:lineRule="auto"/>
        <w:ind w:left="0" w:firstLine="0"/>
        <w:jc w:val="both"/>
        <w:outlineLvl w:val="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В нарушение ст. 13 ФЗ №402-ФЗ, п.7 Инструкции №191н, п.71, п.84. п.85 Инструкции №157н, допущено нарушение требований к бюджетному (бухгалтерскому) учету, повлекшее искажение показателей по Разделу </w:t>
      </w:r>
      <w:r>
        <w:rPr>
          <w:rFonts w:ascii="Times New Roman" w:hAnsi="Times New Roman" w:cs="Times New Roman"/>
          <w:color w:val="000000" w:themeColor="text1"/>
          <w:sz w:val="24"/>
          <w:szCs w:val="24"/>
          <w:lang w:val="en-US"/>
          <w14:textFill>
            <w14:solidFill>
              <w14:schemeClr w14:val="tx1"/>
            </w14:solidFill>
          </w14:textFill>
        </w:rPr>
        <w:t>I</w:t>
      </w:r>
      <w:r>
        <w:rPr>
          <w:rFonts w:ascii="Times New Roman" w:hAnsi="Times New Roman" w:cs="Times New Roman"/>
          <w:color w:val="000000" w:themeColor="text1"/>
          <w:sz w:val="24"/>
          <w:szCs w:val="24"/>
          <w14:textFill>
            <w14:solidFill>
              <w14:schemeClr w14:val="tx1"/>
            </w14:solidFill>
          </w14:textFill>
        </w:rPr>
        <w:t xml:space="preserve"> «Нефинансовые активы» Баланса (ф.0503130) на общую сумму 6646541,42 руб. или 1,72%.</w:t>
      </w:r>
    </w:p>
    <w:p w14:paraId="2C494F45">
      <w:pPr>
        <w:pStyle w:val="16"/>
        <w:tabs>
          <w:tab w:val="center" w:pos="0"/>
          <w:tab w:val="left" w:pos="284"/>
        </w:tabs>
        <w:autoSpaceDE w:val="0"/>
        <w:autoSpaceDN w:val="0"/>
        <w:adjustRightInd w:val="0"/>
        <w:spacing w:after="0" w:line="240" w:lineRule="auto"/>
        <w:ind w:left="0" w:firstLine="426"/>
        <w:jc w:val="both"/>
        <w:outlineLvl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 отношении ответственного лица - главного бухгалтера Каменевой И.Н. возбуждается производство об административном правонарушении, предусмотренном частью 4 ст. 15.15.6 КоАП РФ.</w:t>
      </w:r>
    </w:p>
    <w:p w14:paraId="1BFD02D0">
      <w:pPr>
        <w:pStyle w:val="16"/>
        <w:numPr>
          <w:ilvl w:val="0"/>
          <w:numId w:val="6"/>
        </w:numPr>
        <w:tabs>
          <w:tab w:val="center" w:pos="0"/>
          <w:tab w:val="left" w:pos="284"/>
          <w:tab w:val="clear" w:pos="425"/>
        </w:tabs>
        <w:autoSpaceDE w:val="0"/>
        <w:autoSpaceDN w:val="0"/>
        <w:adjustRightInd w:val="0"/>
        <w:spacing w:after="0" w:line="240" w:lineRule="auto"/>
        <w:ind w:left="0" w:firstLine="0"/>
        <w:jc w:val="both"/>
        <w:outlineLvl w:val="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нарушение п.333 Инструкции №157н земельные участки общей кадастровой стоимостью 1228522,13 руб., полученные в срочное безвозмездное пользование и имеющие признаки «операционной аренды» ошибочно учитываются на забалансовом счете 01 «Имущество, полученное в пользование».</w:t>
      </w:r>
    </w:p>
    <w:p w14:paraId="6BD18ECA">
      <w:pPr>
        <w:pStyle w:val="16"/>
        <w:numPr>
          <w:ilvl w:val="0"/>
          <w:numId w:val="6"/>
        </w:numPr>
        <w:tabs>
          <w:tab w:val="center" w:pos="0"/>
          <w:tab w:val="left" w:pos="284"/>
          <w:tab w:val="clear" w:pos="425"/>
        </w:tabs>
        <w:autoSpaceDE w:val="0"/>
        <w:autoSpaceDN w:val="0"/>
        <w:adjustRightInd w:val="0"/>
        <w:spacing w:after="0" w:line="240" w:lineRule="auto"/>
        <w:ind w:left="0" w:firstLine="0"/>
        <w:jc w:val="both"/>
        <w:outlineLvl w:val="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нарушение п. 159.5 Инструкции №191н таблица №12 составлена неверно.</w:t>
      </w:r>
    </w:p>
    <w:p w14:paraId="0441B74F">
      <w:pPr>
        <w:pStyle w:val="16"/>
        <w:numPr>
          <w:ilvl w:val="0"/>
          <w:numId w:val="6"/>
        </w:numPr>
        <w:tabs>
          <w:tab w:val="center" w:pos="0"/>
          <w:tab w:val="left" w:pos="284"/>
          <w:tab w:val="clear" w:pos="425"/>
        </w:tabs>
        <w:autoSpaceDE w:val="0"/>
        <w:autoSpaceDN w:val="0"/>
        <w:adjustRightInd w:val="0"/>
        <w:spacing w:after="0" w:line="240" w:lineRule="auto"/>
        <w:ind w:left="0" w:firstLine="0"/>
        <w:jc w:val="both"/>
        <w:outlineLvl w:val="0"/>
        <w:rPr>
          <w:rFonts w:ascii="Times New Roman" w:hAnsi="Times New Roman" w:cs="Times New Roman"/>
          <w:color w:val="376092" w:themeColor="accent1" w:themeShade="BF"/>
          <w:sz w:val="24"/>
          <w:szCs w:val="24"/>
        </w:rPr>
      </w:pPr>
      <w:r>
        <w:rPr>
          <w:rFonts w:ascii="Times New Roman" w:hAnsi="Times New Roman"/>
          <w:color w:val="000000" w:themeColor="text1"/>
          <w:sz w:val="24"/>
          <w:szCs w:val="24"/>
          <w14:textFill>
            <w14:solidFill>
              <w14:schemeClr w14:val="tx1"/>
            </w14:solidFill>
          </w14:textFill>
        </w:rPr>
        <w:t>В нарушение п.8, п.159.9 Инструкции №191н строка 040 «Перечень форм отчетности, не включенных в состав бюджетной отчетности за отчетный период ввиду отсутствия числовых значений показателей» заполнена некорректно.</w:t>
      </w:r>
    </w:p>
    <w:p w14:paraId="2255EC6D">
      <w:pPr>
        <w:spacing w:after="0"/>
        <w:jc w:val="both"/>
        <w:rPr>
          <w:rFonts w:ascii="Times New Roman" w:hAnsi="Times New Roman" w:cs="Times New Roman"/>
          <w:color w:val="000000" w:themeColor="text1"/>
          <w:sz w:val="24"/>
          <w:szCs w:val="24"/>
          <w14:textFill>
            <w14:solidFill>
              <w14:schemeClr w14:val="tx1"/>
            </w14:solidFill>
          </w14:textFill>
        </w:rPr>
      </w:pPr>
    </w:p>
    <w:p w14:paraId="74DAE827">
      <w:pPr>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Председатель</w:t>
      </w:r>
    </w:p>
    <w:p w14:paraId="7F830FE7">
      <w:pPr>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КСП МО «Ахтубинский район»</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Ю.Ю. Журавлева</w:t>
      </w:r>
      <w:r>
        <w:rPr>
          <w:rFonts w:ascii="Times New Roman" w:hAnsi="Times New Roman" w:cs="Times New Roman"/>
          <w:color w:val="000000" w:themeColor="text1"/>
          <w:sz w:val="24"/>
          <w:szCs w:val="24"/>
          <w14:textFill>
            <w14:solidFill>
              <w14:schemeClr w14:val="tx1"/>
            </w14:solidFill>
          </w14:textFill>
        </w:rPr>
        <w:tab/>
      </w:r>
    </w:p>
    <w:sectPr>
      <w:footerReference r:id="rId6" w:type="default"/>
      <w:headerReference r:id="rId5" w:type="even"/>
      <w:footerReference r:id="rId7" w:type="even"/>
      <w:pgSz w:w="11906" w:h="16838"/>
      <w:pgMar w:top="720" w:right="720" w:bottom="720" w:left="850"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w:panose1 w:val="02040503050406030204"/>
    <w:charset w:val="CC"/>
    <w:family w:val="roman"/>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72FBE">
    <w:pPr>
      <w:pStyle w:val="10"/>
      <w:pBdr>
        <w:top w:val="thinThickSmallGap" w:color="622423" w:themeColor="accent2" w:themeShade="7F" w:sz="24" w:space="1"/>
      </w:pBdr>
      <w:rPr>
        <w:rFonts w:asciiTheme="majorHAnsi" w:hAnsiTheme="majorHAnsi" w:eastAsiaTheme="majorEastAsia" w:cstheme="majorBidi"/>
      </w:rPr>
    </w:pPr>
    <w:r>
      <w:rPr>
        <w:rFonts w:asciiTheme="majorHAnsi" w:hAnsiTheme="majorHAnsi" w:eastAsiaTheme="majorEastAsia" w:cstheme="majorBidi"/>
      </w:rPr>
      <w:t>Заключение КСП МО «Ахтубинский район»</w:t>
    </w:r>
    <w:r>
      <w:rPr>
        <w:rFonts w:asciiTheme="majorHAnsi" w:hAnsiTheme="majorHAnsi" w:eastAsiaTheme="majorEastAsia" w:cstheme="majorBidi"/>
      </w:rPr>
      <w:ptab w:relativeTo="margin" w:alignment="right" w:leader="none"/>
    </w:r>
    <w:r>
      <w:rPr>
        <w:rFonts w:asciiTheme="majorHAnsi" w:hAnsiTheme="majorHAnsi" w:eastAsiaTheme="majorEastAsia" w:cstheme="majorBidi"/>
      </w:rPr>
      <w:t xml:space="preserve">Страница </w:t>
    </w:r>
    <w:r>
      <w:rPr>
        <w:rFonts w:eastAsiaTheme="minorEastAsia"/>
      </w:rPr>
      <w:fldChar w:fldCharType="begin"/>
    </w:r>
    <w:r>
      <w:instrText xml:space="preserve">PAGE   \* MERGEFORMAT</w:instrText>
    </w:r>
    <w:r>
      <w:rPr>
        <w:rFonts w:eastAsiaTheme="minorEastAsia"/>
      </w:rPr>
      <w:fldChar w:fldCharType="separate"/>
    </w:r>
    <w:r>
      <w:rPr>
        <w:rFonts w:asciiTheme="majorHAnsi" w:hAnsiTheme="majorHAnsi" w:eastAsiaTheme="majorEastAsia" w:cstheme="majorBidi"/>
      </w:rPr>
      <w:t>13</w:t>
    </w:r>
    <w:r>
      <w:rPr>
        <w:rFonts w:asciiTheme="majorHAnsi" w:hAnsiTheme="majorHAnsi" w:eastAsiaTheme="majorEastAsia" w:cstheme="majorBidi"/>
      </w:rPr>
      <w:fldChar w:fldCharType="end"/>
    </w:r>
  </w:p>
  <w:p w14:paraId="0EFD8E08">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110E0">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74CAA">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9B396"/>
    <w:multiLevelType w:val="singleLevel"/>
    <w:tmpl w:val="8599B396"/>
    <w:lvl w:ilvl="0" w:tentative="0">
      <w:start w:val="1"/>
      <w:numFmt w:val="decimal"/>
      <w:suff w:val="space"/>
      <w:lvlText w:val="%1."/>
      <w:lvlJc w:val="left"/>
    </w:lvl>
  </w:abstractNum>
  <w:abstractNum w:abstractNumId="1">
    <w:nsid w:val="E682CB2F"/>
    <w:multiLevelType w:val="singleLevel"/>
    <w:tmpl w:val="E682CB2F"/>
    <w:lvl w:ilvl="0" w:tentative="0">
      <w:start w:val="1"/>
      <w:numFmt w:val="decimal"/>
      <w:lvlText w:val="%1."/>
      <w:lvlJc w:val="left"/>
      <w:pPr>
        <w:tabs>
          <w:tab w:val="left" w:pos="425"/>
        </w:tabs>
        <w:ind w:left="425" w:hanging="425"/>
      </w:pPr>
      <w:rPr>
        <w:rFonts w:hint="default"/>
        <w:b/>
        <w:bCs/>
        <w:color w:val="000000" w:themeColor="text1"/>
        <w14:textFill>
          <w14:solidFill>
            <w14:schemeClr w14:val="tx1"/>
          </w14:solidFill>
        </w14:textFill>
      </w:rPr>
    </w:lvl>
  </w:abstractNum>
  <w:abstractNum w:abstractNumId="2">
    <w:nsid w:val="EC00A9CC"/>
    <w:multiLevelType w:val="singleLevel"/>
    <w:tmpl w:val="EC00A9CC"/>
    <w:lvl w:ilvl="0" w:tentative="0">
      <w:start w:val="2"/>
      <w:numFmt w:val="decimal"/>
      <w:suff w:val="space"/>
      <w:lvlText w:val="%1."/>
      <w:lvlJc w:val="left"/>
    </w:lvl>
  </w:abstractNum>
  <w:abstractNum w:abstractNumId="3">
    <w:nsid w:val="ECF31D8E"/>
    <w:multiLevelType w:val="singleLevel"/>
    <w:tmpl w:val="ECF31D8E"/>
    <w:lvl w:ilvl="0" w:tentative="0">
      <w:start w:val="1"/>
      <w:numFmt w:val="bullet"/>
      <w:lvlText w:val=""/>
      <w:lvlJc w:val="left"/>
      <w:pPr>
        <w:tabs>
          <w:tab w:val="left" w:pos="420"/>
        </w:tabs>
        <w:ind w:left="420" w:hanging="420"/>
      </w:pPr>
      <w:rPr>
        <w:rFonts w:hint="default" w:ascii="Wingdings" w:hAnsi="Wingdings"/>
        <w:sz w:val="11"/>
        <w:szCs w:val="11"/>
      </w:rPr>
    </w:lvl>
  </w:abstractNum>
  <w:abstractNum w:abstractNumId="4">
    <w:nsid w:val="4B8D45E3"/>
    <w:multiLevelType w:val="singleLevel"/>
    <w:tmpl w:val="4B8D45E3"/>
    <w:lvl w:ilvl="0" w:tentative="0">
      <w:start w:val="1"/>
      <w:numFmt w:val="decimal"/>
      <w:suff w:val="space"/>
      <w:lvlText w:val="%1."/>
      <w:lvlJc w:val="left"/>
    </w:lvl>
  </w:abstractNum>
  <w:abstractNum w:abstractNumId="5">
    <w:nsid w:val="4D5C1717"/>
    <w:multiLevelType w:val="multilevel"/>
    <w:tmpl w:val="4D5C1717"/>
    <w:lvl w:ilvl="0" w:tentative="0">
      <w:start w:val="1"/>
      <w:numFmt w:val="bullet"/>
      <w:lvlText w:val=""/>
      <w:lvlJc w:val="left"/>
      <w:pPr>
        <w:ind w:left="1095" w:hanging="360"/>
      </w:pPr>
      <w:rPr>
        <w:rFonts w:hint="default" w:ascii="Symbol" w:hAnsi="Symbol"/>
      </w:rPr>
    </w:lvl>
    <w:lvl w:ilvl="1" w:tentative="0">
      <w:start w:val="1"/>
      <w:numFmt w:val="bullet"/>
      <w:lvlText w:val="o"/>
      <w:lvlJc w:val="left"/>
      <w:pPr>
        <w:ind w:left="1815" w:hanging="360"/>
      </w:pPr>
      <w:rPr>
        <w:rFonts w:hint="default" w:ascii="Courier New" w:hAnsi="Courier New" w:cs="Courier New"/>
      </w:rPr>
    </w:lvl>
    <w:lvl w:ilvl="2" w:tentative="0">
      <w:start w:val="1"/>
      <w:numFmt w:val="bullet"/>
      <w:lvlText w:val=""/>
      <w:lvlJc w:val="left"/>
      <w:pPr>
        <w:ind w:left="2535" w:hanging="360"/>
      </w:pPr>
      <w:rPr>
        <w:rFonts w:hint="default" w:ascii="Wingdings" w:hAnsi="Wingdings"/>
      </w:rPr>
    </w:lvl>
    <w:lvl w:ilvl="3" w:tentative="0">
      <w:start w:val="1"/>
      <w:numFmt w:val="bullet"/>
      <w:lvlText w:val=""/>
      <w:lvlJc w:val="left"/>
      <w:pPr>
        <w:ind w:left="3255" w:hanging="360"/>
      </w:pPr>
      <w:rPr>
        <w:rFonts w:hint="default" w:ascii="Symbol" w:hAnsi="Symbol"/>
      </w:rPr>
    </w:lvl>
    <w:lvl w:ilvl="4" w:tentative="0">
      <w:start w:val="1"/>
      <w:numFmt w:val="bullet"/>
      <w:lvlText w:val="o"/>
      <w:lvlJc w:val="left"/>
      <w:pPr>
        <w:ind w:left="3975" w:hanging="360"/>
      </w:pPr>
      <w:rPr>
        <w:rFonts w:hint="default" w:ascii="Courier New" w:hAnsi="Courier New" w:cs="Courier New"/>
      </w:rPr>
    </w:lvl>
    <w:lvl w:ilvl="5" w:tentative="0">
      <w:start w:val="1"/>
      <w:numFmt w:val="bullet"/>
      <w:lvlText w:val=""/>
      <w:lvlJc w:val="left"/>
      <w:pPr>
        <w:ind w:left="4695" w:hanging="360"/>
      </w:pPr>
      <w:rPr>
        <w:rFonts w:hint="default" w:ascii="Wingdings" w:hAnsi="Wingdings"/>
      </w:rPr>
    </w:lvl>
    <w:lvl w:ilvl="6" w:tentative="0">
      <w:start w:val="1"/>
      <w:numFmt w:val="bullet"/>
      <w:lvlText w:val=""/>
      <w:lvlJc w:val="left"/>
      <w:pPr>
        <w:ind w:left="5415" w:hanging="360"/>
      </w:pPr>
      <w:rPr>
        <w:rFonts w:hint="default" w:ascii="Symbol" w:hAnsi="Symbol"/>
      </w:rPr>
    </w:lvl>
    <w:lvl w:ilvl="7" w:tentative="0">
      <w:start w:val="1"/>
      <w:numFmt w:val="bullet"/>
      <w:lvlText w:val="o"/>
      <w:lvlJc w:val="left"/>
      <w:pPr>
        <w:ind w:left="6135" w:hanging="360"/>
      </w:pPr>
      <w:rPr>
        <w:rFonts w:hint="default" w:ascii="Courier New" w:hAnsi="Courier New" w:cs="Courier New"/>
      </w:rPr>
    </w:lvl>
    <w:lvl w:ilvl="8" w:tentative="0">
      <w:start w:val="1"/>
      <w:numFmt w:val="bullet"/>
      <w:lvlText w:val=""/>
      <w:lvlJc w:val="left"/>
      <w:pPr>
        <w:ind w:left="6855" w:hanging="360"/>
      </w:pPr>
      <w:rPr>
        <w:rFonts w:hint="default" w:ascii="Wingdings" w:hAnsi="Wingdings"/>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cumentProtection w:enforcement="0"/>
  <w:defaultTabStop w:val="708"/>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BB9"/>
    <w:rsid w:val="00015993"/>
    <w:rsid w:val="0002005C"/>
    <w:rsid w:val="00020CB0"/>
    <w:rsid w:val="00021BFF"/>
    <w:rsid w:val="0002347A"/>
    <w:rsid w:val="0002430A"/>
    <w:rsid w:val="000344B0"/>
    <w:rsid w:val="000415A4"/>
    <w:rsid w:val="00041F3B"/>
    <w:rsid w:val="00047905"/>
    <w:rsid w:val="00047F1F"/>
    <w:rsid w:val="0005072A"/>
    <w:rsid w:val="0005238E"/>
    <w:rsid w:val="0005782E"/>
    <w:rsid w:val="00061C82"/>
    <w:rsid w:val="00062F8D"/>
    <w:rsid w:val="00066609"/>
    <w:rsid w:val="00066658"/>
    <w:rsid w:val="00067C0F"/>
    <w:rsid w:val="00067CB0"/>
    <w:rsid w:val="0007141D"/>
    <w:rsid w:val="00071AB1"/>
    <w:rsid w:val="000728BD"/>
    <w:rsid w:val="00075CC8"/>
    <w:rsid w:val="00075D18"/>
    <w:rsid w:val="000766D2"/>
    <w:rsid w:val="000900F6"/>
    <w:rsid w:val="000906F8"/>
    <w:rsid w:val="00091AD6"/>
    <w:rsid w:val="000934BD"/>
    <w:rsid w:val="000934D1"/>
    <w:rsid w:val="000A2708"/>
    <w:rsid w:val="000A44EE"/>
    <w:rsid w:val="000A4CA4"/>
    <w:rsid w:val="000B4533"/>
    <w:rsid w:val="000B6E4C"/>
    <w:rsid w:val="000C4801"/>
    <w:rsid w:val="000C4D53"/>
    <w:rsid w:val="000C5BDE"/>
    <w:rsid w:val="000C73E5"/>
    <w:rsid w:val="000D1EC7"/>
    <w:rsid w:val="000D69B2"/>
    <w:rsid w:val="000E5F05"/>
    <w:rsid w:val="000E6906"/>
    <w:rsid w:val="000F34DA"/>
    <w:rsid w:val="000F423C"/>
    <w:rsid w:val="000F6B30"/>
    <w:rsid w:val="00101979"/>
    <w:rsid w:val="00101AD0"/>
    <w:rsid w:val="00105E6F"/>
    <w:rsid w:val="00106231"/>
    <w:rsid w:val="001062A9"/>
    <w:rsid w:val="0011015C"/>
    <w:rsid w:val="00112D6E"/>
    <w:rsid w:val="001232A0"/>
    <w:rsid w:val="00123823"/>
    <w:rsid w:val="0012564A"/>
    <w:rsid w:val="00136349"/>
    <w:rsid w:val="00141494"/>
    <w:rsid w:val="00146CD7"/>
    <w:rsid w:val="00147A26"/>
    <w:rsid w:val="001566B9"/>
    <w:rsid w:val="00160877"/>
    <w:rsid w:val="0017067B"/>
    <w:rsid w:val="00172A27"/>
    <w:rsid w:val="00180229"/>
    <w:rsid w:val="00181D6A"/>
    <w:rsid w:val="00185F28"/>
    <w:rsid w:val="001963CD"/>
    <w:rsid w:val="001A3703"/>
    <w:rsid w:val="001A3963"/>
    <w:rsid w:val="001A731D"/>
    <w:rsid w:val="001B0400"/>
    <w:rsid w:val="001B3612"/>
    <w:rsid w:val="001B6F28"/>
    <w:rsid w:val="001B7C79"/>
    <w:rsid w:val="001C3C1C"/>
    <w:rsid w:val="001C4A95"/>
    <w:rsid w:val="001C587C"/>
    <w:rsid w:val="001D40B5"/>
    <w:rsid w:val="001D4FB6"/>
    <w:rsid w:val="001D6111"/>
    <w:rsid w:val="001E0A9D"/>
    <w:rsid w:val="001E20B2"/>
    <w:rsid w:val="001E2566"/>
    <w:rsid w:val="001E5405"/>
    <w:rsid w:val="001F1A1F"/>
    <w:rsid w:val="001F5DFD"/>
    <w:rsid w:val="00201A5F"/>
    <w:rsid w:val="00203002"/>
    <w:rsid w:val="00203AC1"/>
    <w:rsid w:val="002307F6"/>
    <w:rsid w:val="002313D8"/>
    <w:rsid w:val="0023161E"/>
    <w:rsid w:val="002360F1"/>
    <w:rsid w:val="00236C1D"/>
    <w:rsid w:val="0023759D"/>
    <w:rsid w:val="00244995"/>
    <w:rsid w:val="00246A6F"/>
    <w:rsid w:val="00246CCE"/>
    <w:rsid w:val="00247EE1"/>
    <w:rsid w:val="00250ECB"/>
    <w:rsid w:val="0025296E"/>
    <w:rsid w:val="002631A4"/>
    <w:rsid w:val="002636EB"/>
    <w:rsid w:val="002647A8"/>
    <w:rsid w:val="00264B14"/>
    <w:rsid w:val="00271123"/>
    <w:rsid w:val="002761A8"/>
    <w:rsid w:val="00282921"/>
    <w:rsid w:val="00285210"/>
    <w:rsid w:val="00285C1F"/>
    <w:rsid w:val="00286D69"/>
    <w:rsid w:val="0029324A"/>
    <w:rsid w:val="002932D2"/>
    <w:rsid w:val="00293B9C"/>
    <w:rsid w:val="002A1DB6"/>
    <w:rsid w:val="002B5B18"/>
    <w:rsid w:val="002B602E"/>
    <w:rsid w:val="002C40BD"/>
    <w:rsid w:val="002C65F0"/>
    <w:rsid w:val="002D130B"/>
    <w:rsid w:val="002D307D"/>
    <w:rsid w:val="002D3F9D"/>
    <w:rsid w:val="002E5C84"/>
    <w:rsid w:val="002E5F24"/>
    <w:rsid w:val="002E76E5"/>
    <w:rsid w:val="002E7C66"/>
    <w:rsid w:val="002F717C"/>
    <w:rsid w:val="0030069F"/>
    <w:rsid w:val="003044BE"/>
    <w:rsid w:val="00304535"/>
    <w:rsid w:val="003058BD"/>
    <w:rsid w:val="00310EAC"/>
    <w:rsid w:val="0032199A"/>
    <w:rsid w:val="00321B2D"/>
    <w:rsid w:val="0032733B"/>
    <w:rsid w:val="003276D4"/>
    <w:rsid w:val="003358A4"/>
    <w:rsid w:val="00336946"/>
    <w:rsid w:val="00346A44"/>
    <w:rsid w:val="00350927"/>
    <w:rsid w:val="00353679"/>
    <w:rsid w:val="003555AE"/>
    <w:rsid w:val="0036097F"/>
    <w:rsid w:val="00361BA1"/>
    <w:rsid w:val="0036369C"/>
    <w:rsid w:val="0037657A"/>
    <w:rsid w:val="0037759E"/>
    <w:rsid w:val="0037789D"/>
    <w:rsid w:val="003836ED"/>
    <w:rsid w:val="00384B96"/>
    <w:rsid w:val="00384EC1"/>
    <w:rsid w:val="00386D2D"/>
    <w:rsid w:val="00390834"/>
    <w:rsid w:val="00392640"/>
    <w:rsid w:val="003A0323"/>
    <w:rsid w:val="003B6982"/>
    <w:rsid w:val="003C230A"/>
    <w:rsid w:val="003C25DD"/>
    <w:rsid w:val="003C2DC1"/>
    <w:rsid w:val="003C6974"/>
    <w:rsid w:val="003D1F00"/>
    <w:rsid w:val="003D4E10"/>
    <w:rsid w:val="003D7493"/>
    <w:rsid w:val="003E15E1"/>
    <w:rsid w:val="003E4A34"/>
    <w:rsid w:val="003F0125"/>
    <w:rsid w:val="003F0A18"/>
    <w:rsid w:val="003F17A8"/>
    <w:rsid w:val="003F665B"/>
    <w:rsid w:val="00400199"/>
    <w:rsid w:val="0040759E"/>
    <w:rsid w:val="00411FB4"/>
    <w:rsid w:val="00412869"/>
    <w:rsid w:val="00423630"/>
    <w:rsid w:val="00424826"/>
    <w:rsid w:val="00424B06"/>
    <w:rsid w:val="00425E03"/>
    <w:rsid w:val="00431141"/>
    <w:rsid w:val="004324DD"/>
    <w:rsid w:val="00436A16"/>
    <w:rsid w:val="004414EE"/>
    <w:rsid w:val="004425FF"/>
    <w:rsid w:val="00444D58"/>
    <w:rsid w:val="0045563D"/>
    <w:rsid w:val="004617CA"/>
    <w:rsid w:val="00462EEB"/>
    <w:rsid w:val="0047082B"/>
    <w:rsid w:val="00475450"/>
    <w:rsid w:val="00477BE0"/>
    <w:rsid w:val="0048141D"/>
    <w:rsid w:val="00484014"/>
    <w:rsid w:val="00490032"/>
    <w:rsid w:val="0049277A"/>
    <w:rsid w:val="00493F08"/>
    <w:rsid w:val="004958C8"/>
    <w:rsid w:val="00495FF6"/>
    <w:rsid w:val="004A2E77"/>
    <w:rsid w:val="004B59BF"/>
    <w:rsid w:val="004C1AD4"/>
    <w:rsid w:val="004C20A3"/>
    <w:rsid w:val="004D6DC6"/>
    <w:rsid w:val="004D6FA7"/>
    <w:rsid w:val="004D7F62"/>
    <w:rsid w:val="004E17C1"/>
    <w:rsid w:val="004E2AE5"/>
    <w:rsid w:val="004E2FE3"/>
    <w:rsid w:val="004E3577"/>
    <w:rsid w:val="004E493A"/>
    <w:rsid w:val="004E5A3C"/>
    <w:rsid w:val="004E7E57"/>
    <w:rsid w:val="00501BD1"/>
    <w:rsid w:val="00504068"/>
    <w:rsid w:val="005065B5"/>
    <w:rsid w:val="00506B6F"/>
    <w:rsid w:val="00510739"/>
    <w:rsid w:val="005141D8"/>
    <w:rsid w:val="00516400"/>
    <w:rsid w:val="005165A7"/>
    <w:rsid w:val="00516E6C"/>
    <w:rsid w:val="00520221"/>
    <w:rsid w:val="0052075C"/>
    <w:rsid w:val="00521894"/>
    <w:rsid w:val="0053004E"/>
    <w:rsid w:val="00531BC5"/>
    <w:rsid w:val="00536299"/>
    <w:rsid w:val="00553B2E"/>
    <w:rsid w:val="005548B7"/>
    <w:rsid w:val="00561FBD"/>
    <w:rsid w:val="0056264C"/>
    <w:rsid w:val="005639A0"/>
    <w:rsid w:val="005653D3"/>
    <w:rsid w:val="0056640F"/>
    <w:rsid w:val="00566F57"/>
    <w:rsid w:val="005812B1"/>
    <w:rsid w:val="00582776"/>
    <w:rsid w:val="005847A7"/>
    <w:rsid w:val="00584F6B"/>
    <w:rsid w:val="00587FEF"/>
    <w:rsid w:val="005918DA"/>
    <w:rsid w:val="00593F96"/>
    <w:rsid w:val="005965CA"/>
    <w:rsid w:val="005A2A83"/>
    <w:rsid w:val="005A2F74"/>
    <w:rsid w:val="005A7D3C"/>
    <w:rsid w:val="005B3A7B"/>
    <w:rsid w:val="005C0CEE"/>
    <w:rsid w:val="005C4F63"/>
    <w:rsid w:val="005D348E"/>
    <w:rsid w:val="005D3E28"/>
    <w:rsid w:val="005D74F1"/>
    <w:rsid w:val="005D7B21"/>
    <w:rsid w:val="005E1D7A"/>
    <w:rsid w:val="005E4A65"/>
    <w:rsid w:val="005E6C74"/>
    <w:rsid w:val="005F0D68"/>
    <w:rsid w:val="005F518A"/>
    <w:rsid w:val="00602E77"/>
    <w:rsid w:val="00606BC8"/>
    <w:rsid w:val="006104F4"/>
    <w:rsid w:val="00614AB8"/>
    <w:rsid w:val="006159C4"/>
    <w:rsid w:val="00617938"/>
    <w:rsid w:val="00624724"/>
    <w:rsid w:val="0062666C"/>
    <w:rsid w:val="006301F0"/>
    <w:rsid w:val="00631D1E"/>
    <w:rsid w:val="00633D9B"/>
    <w:rsid w:val="00634259"/>
    <w:rsid w:val="00637047"/>
    <w:rsid w:val="006403A8"/>
    <w:rsid w:val="006412FB"/>
    <w:rsid w:val="00650369"/>
    <w:rsid w:val="00650815"/>
    <w:rsid w:val="0065098E"/>
    <w:rsid w:val="00653A7C"/>
    <w:rsid w:val="00654B5A"/>
    <w:rsid w:val="00660ABF"/>
    <w:rsid w:val="00661DC8"/>
    <w:rsid w:val="00664B8A"/>
    <w:rsid w:val="006800F9"/>
    <w:rsid w:val="00686BF3"/>
    <w:rsid w:val="00692DC6"/>
    <w:rsid w:val="00693BE8"/>
    <w:rsid w:val="00694123"/>
    <w:rsid w:val="006A0A8A"/>
    <w:rsid w:val="006A147B"/>
    <w:rsid w:val="006A172E"/>
    <w:rsid w:val="006A2E9A"/>
    <w:rsid w:val="006A6638"/>
    <w:rsid w:val="006B1E44"/>
    <w:rsid w:val="006B7FF0"/>
    <w:rsid w:val="006C07D5"/>
    <w:rsid w:val="006C4A4B"/>
    <w:rsid w:val="006C5EF5"/>
    <w:rsid w:val="006C6435"/>
    <w:rsid w:val="006D19ED"/>
    <w:rsid w:val="006E05B5"/>
    <w:rsid w:val="006E0C85"/>
    <w:rsid w:val="006E3E2A"/>
    <w:rsid w:val="006E6E5B"/>
    <w:rsid w:val="006F087F"/>
    <w:rsid w:val="006F1907"/>
    <w:rsid w:val="006F2BB2"/>
    <w:rsid w:val="006F4593"/>
    <w:rsid w:val="006F5B9D"/>
    <w:rsid w:val="0070265C"/>
    <w:rsid w:val="00704D5E"/>
    <w:rsid w:val="00706649"/>
    <w:rsid w:val="00706852"/>
    <w:rsid w:val="00707E78"/>
    <w:rsid w:val="007145E5"/>
    <w:rsid w:val="0071529E"/>
    <w:rsid w:val="00715D85"/>
    <w:rsid w:val="007243C3"/>
    <w:rsid w:val="00724E79"/>
    <w:rsid w:val="0072724E"/>
    <w:rsid w:val="00731D93"/>
    <w:rsid w:val="00732445"/>
    <w:rsid w:val="00734DC3"/>
    <w:rsid w:val="00736A43"/>
    <w:rsid w:val="007400A0"/>
    <w:rsid w:val="00742F56"/>
    <w:rsid w:val="00744C60"/>
    <w:rsid w:val="00744E70"/>
    <w:rsid w:val="00760362"/>
    <w:rsid w:val="007606D4"/>
    <w:rsid w:val="007645D2"/>
    <w:rsid w:val="00766D0A"/>
    <w:rsid w:val="007727C2"/>
    <w:rsid w:val="00775134"/>
    <w:rsid w:val="00775FD4"/>
    <w:rsid w:val="00780E34"/>
    <w:rsid w:val="007812B3"/>
    <w:rsid w:val="00781897"/>
    <w:rsid w:val="00781AD3"/>
    <w:rsid w:val="00783DA7"/>
    <w:rsid w:val="00787667"/>
    <w:rsid w:val="00791BFC"/>
    <w:rsid w:val="0079474F"/>
    <w:rsid w:val="007953B4"/>
    <w:rsid w:val="00796742"/>
    <w:rsid w:val="007978AC"/>
    <w:rsid w:val="007A0EE6"/>
    <w:rsid w:val="007A36A7"/>
    <w:rsid w:val="007B18BB"/>
    <w:rsid w:val="007C038B"/>
    <w:rsid w:val="007C063C"/>
    <w:rsid w:val="007D2C06"/>
    <w:rsid w:val="007D5BBD"/>
    <w:rsid w:val="007E05DE"/>
    <w:rsid w:val="007E3B48"/>
    <w:rsid w:val="007E4846"/>
    <w:rsid w:val="007E666D"/>
    <w:rsid w:val="007F40DD"/>
    <w:rsid w:val="0080268F"/>
    <w:rsid w:val="008106AD"/>
    <w:rsid w:val="00811748"/>
    <w:rsid w:val="00814326"/>
    <w:rsid w:val="00814B64"/>
    <w:rsid w:val="00815616"/>
    <w:rsid w:val="00816E6B"/>
    <w:rsid w:val="0082095D"/>
    <w:rsid w:val="00824E40"/>
    <w:rsid w:val="0082602A"/>
    <w:rsid w:val="008343E0"/>
    <w:rsid w:val="00835301"/>
    <w:rsid w:val="00837201"/>
    <w:rsid w:val="00840099"/>
    <w:rsid w:val="0084288B"/>
    <w:rsid w:val="00847955"/>
    <w:rsid w:val="00853F36"/>
    <w:rsid w:val="00856C70"/>
    <w:rsid w:val="008576BA"/>
    <w:rsid w:val="00860E2B"/>
    <w:rsid w:val="00862546"/>
    <w:rsid w:val="00862F66"/>
    <w:rsid w:val="0086688D"/>
    <w:rsid w:val="00872DA7"/>
    <w:rsid w:val="00875100"/>
    <w:rsid w:val="00881B8B"/>
    <w:rsid w:val="00882F05"/>
    <w:rsid w:val="00883235"/>
    <w:rsid w:val="008834C6"/>
    <w:rsid w:val="0088659C"/>
    <w:rsid w:val="00887742"/>
    <w:rsid w:val="00887DD9"/>
    <w:rsid w:val="00891F42"/>
    <w:rsid w:val="00894F7C"/>
    <w:rsid w:val="00896DDB"/>
    <w:rsid w:val="00897511"/>
    <w:rsid w:val="008A2028"/>
    <w:rsid w:val="008A25C5"/>
    <w:rsid w:val="008A36B8"/>
    <w:rsid w:val="008B1190"/>
    <w:rsid w:val="008B22F9"/>
    <w:rsid w:val="008C5856"/>
    <w:rsid w:val="008D0F61"/>
    <w:rsid w:val="008E3394"/>
    <w:rsid w:val="008E43B8"/>
    <w:rsid w:val="008F0A78"/>
    <w:rsid w:val="008F62B8"/>
    <w:rsid w:val="008F6A2B"/>
    <w:rsid w:val="008F6E94"/>
    <w:rsid w:val="00907540"/>
    <w:rsid w:val="00912AFC"/>
    <w:rsid w:val="00912C97"/>
    <w:rsid w:val="00916808"/>
    <w:rsid w:val="00924889"/>
    <w:rsid w:val="00926746"/>
    <w:rsid w:val="009321C4"/>
    <w:rsid w:val="0093226A"/>
    <w:rsid w:val="009322A7"/>
    <w:rsid w:val="00933A63"/>
    <w:rsid w:val="00935371"/>
    <w:rsid w:val="00935A80"/>
    <w:rsid w:val="009374A9"/>
    <w:rsid w:val="00941411"/>
    <w:rsid w:val="00942AE8"/>
    <w:rsid w:val="009432BC"/>
    <w:rsid w:val="00947006"/>
    <w:rsid w:val="009509D9"/>
    <w:rsid w:val="0095173C"/>
    <w:rsid w:val="00957B48"/>
    <w:rsid w:val="009601A9"/>
    <w:rsid w:val="00964B77"/>
    <w:rsid w:val="0097191C"/>
    <w:rsid w:val="00974748"/>
    <w:rsid w:val="00981806"/>
    <w:rsid w:val="009818A2"/>
    <w:rsid w:val="00981DA8"/>
    <w:rsid w:val="009845D1"/>
    <w:rsid w:val="00985540"/>
    <w:rsid w:val="009859BE"/>
    <w:rsid w:val="009867FB"/>
    <w:rsid w:val="009873AB"/>
    <w:rsid w:val="00994B18"/>
    <w:rsid w:val="009A2834"/>
    <w:rsid w:val="009A4FDB"/>
    <w:rsid w:val="009A5998"/>
    <w:rsid w:val="009B04A3"/>
    <w:rsid w:val="009B124C"/>
    <w:rsid w:val="009B6A4F"/>
    <w:rsid w:val="009D2191"/>
    <w:rsid w:val="009E3109"/>
    <w:rsid w:val="009E346F"/>
    <w:rsid w:val="009E6889"/>
    <w:rsid w:val="009F5428"/>
    <w:rsid w:val="00A01EA5"/>
    <w:rsid w:val="00A030BF"/>
    <w:rsid w:val="00A039BA"/>
    <w:rsid w:val="00A0478D"/>
    <w:rsid w:val="00A05F04"/>
    <w:rsid w:val="00A063E6"/>
    <w:rsid w:val="00A074EE"/>
    <w:rsid w:val="00A16BED"/>
    <w:rsid w:val="00A20337"/>
    <w:rsid w:val="00A246FA"/>
    <w:rsid w:val="00A27CEA"/>
    <w:rsid w:val="00A3034C"/>
    <w:rsid w:val="00A30BDA"/>
    <w:rsid w:val="00A30EC6"/>
    <w:rsid w:val="00A319F1"/>
    <w:rsid w:val="00A32A82"/>
    <w:rsid w:val="00A36EC2"/>
    <w:rsid w:val="00A36FFC"/>
    <w:rsid w:val="00A543FC"/>
    <w:rsid w:val="00A614BF"/>
    <w:rsid w:val="00A63038"/>
    <w:rsid w:val="00A66CC3"/>
    <w:rsid w:val="00A72445"/>
    <w:rsid w:val="00A73FC1"/>
    <w:rsid w:val="00A75DB9"/>
    <w:rsid w:val="00A80BF8"/>
    <w:rsid w:val="00A827B5"/>
    <w:rsid w:val="00A83EF3"/>
    <w:rsid w:val="00A915BE"/>
    <w:rsid w:val="00A979BB"/>
    <w:rsid w:val="00AC0658"/>
    <w:rsid w:val="00AC2372"/>
    <w:rsid w:val="00AC32AB"/>
    <w:rsid w:val="00AC3658"/>
    <w:rsid w:val="00AC4A6B"/>
    <w:rsid w:val="00AD056F"/>
    <w:rsid w:val="00AD099A"/>
    <w:rsid w:val="00AD50BD"/>
    <w:rsid w:val="00AD5DEB"/>
    <w:rsid w:val="00AD699D"/>
    <w:rsid w:val="00AE515A"/>
    <w:rsid w:val="00AE79E9"/>
    <w:rsid w:val="00AF29F7"/>
    <w:rsid w:val="00AF54AD"/>
    <w:rsid w:val="00AF770F"/>
    <w:rsid w:val="00B05E6F"/>
    <w:rsid w:val="00B06DFB"/>
    <w:rsid w:val="00B07A59"/>
    <w:rsid w:val="00B11B6D"/>
    <w:rsid w:val="00B239DE"/>
    <w:rsid w:val="00B23AA4"/>
    <w:rsid w:val="00B266A1"/>
    <w:rsid w:val="00B268FE"/>
    <w:rsid w:val="00B2694F"/>
    <w:rsid w:val="00B30CBD"/>
    <w:rsid w:val="00B37A78"/>
    <w:rsid w:val="00B430BA"/>
    <w:rsid w:val="00B50E9E"/>
    <w:rsid w:val="00B53877"/>
    <w:rsid w:val="00B543C1"/>
    <w:rsid w:val="00B545F5"/>
    <w:rsid w:val="00B566A5"/>
    <w:rsid w:val="00B56FE8"/>
    <w:rsid w:val="00B60476"/>
    <w:rsid w:val="00B6064D"/>
    <w:rsid w:val="00B6096A"/>
    <w:rsid w:val="00B65A78"/>
    <w:rsid w:val="00B67CCD"/>
    <w:rsid w:val="00B70F92"/>
    <w:rsid w:val="00B718F9"/>
    <w:rsid w:val="00B73076"/>
    <w:rsid w:val="00B80708"/>
    <w:rsid w:val="00B8604F"/>
    <w:rsid w:val="00B92057"/>
    <w:rsid w:val="00B925E0"/>
    <w:rsid w:val="00B92867"/>
    <w:rsid w:val="00B933AD"/>
    <w:rsid w:val="00B93562"/>
    <w:rsid w:val="00B97BAC"/>
    <w:rsid w:val="00B97C28"/>
    <w:rsid w:val="00BA0432"/>
    <w:rsid w:val="00BA0A51"/>
    <w:rsid w:val="00BA4638"/>
    <w:rsid w:val="00BA6838"/>
    <w:rsid w:val="00BA6DB9"/>
    <w:rsid w:val="00BB0915"/>
    <w:rsid w:val="00BB1678"/>
    <w:rsid w:val="00BB25A6"/>
    <w:rsid w:val="00BB5A11"/>
    <w:rsid w:val="00BB5C23"/>
    <w:rsid w:val="00BB67B7"/>
    <w:rsid w:val="00BC0C29"/>
    <w:rsid w:val="00BC5098"/>
    <w:rsid w:val="00BC70F9"/>
    <w:rsid w:val="00BD1E4E"/>
    <w:rsid w:val="00BD434E"/>
    <w:rsid w:val="00BD4D30"/>
    <w:rsid w:val="00BD7473"/>
    <w:rsid w:val="00BE0434"/>
    <w:rsid w:val="00BE0872"/>
    <w:rsid w:val="00BE193B"/>
    <w:rsid w:val="00BE2921"/>
    <w:rsid w:val="00BE3597"/>
    <w:rsid w:val="00BE43E3"/>
    <w:rsid w:val="00BF2F3B"/>
    <w:rsid w:val="00BF5A06"/>
    <w:rsid w:val="00BF66EC"/>
    <w:rsid w:val="00BF6A9A"/>
    <w:rsid w:val="00C00985"/>
    <w:rsid w:val="00C00AD7"/>
    <w:rsid w:val="00C05FC0"/>
    <w:rsid w:val="00C07245"/>
    <w:rsid w:val="00C1023A"/>
    <w:rsid w:val="00C1213D"/>
    <w:rsid w:val="00C162AB"/>
    <w:rsid w:val="00C16371"/>
    <w:rsid w:val="00C21E65"/>
    <w:rsid w:val="00C24B17"/>
    <w:rsid w:val="00C24CF5"/>
    <w:rsid w:val="00C265ED"/>
    <w:rsid w:val="00C34E08"/>
    <w:rsid w:val="00C3734F"/>
    <w:rsid w:val="00C37874"/>
    <w:rsid w:val="00C42184"/>
    <w:rsid w:val="00C474FD"/>
    <w:rsid w:val="00C517E8"/>
    <w:rsid w:val="00C54E21"/>
    <w:rsid w:val="00C55AB2"/>
    <w:rsid w:val="00C56507"/>
    <w:rsid w:val="00C610B4"/>
    <w:rsid w:val="00C64930"/>
    <w:rsid w:val="00C65DF2"/>
    <w:rsid w:val="00C66BD6"/>
    <w:rsid w:val="00C71300"/>
    <w:rsid w:val="00C72A24"/>
    <w:rsid w:val="00C72A98"/>
    <w:rsid w:val="00C73579"/>
    <w:rsid w:val="00C767B8"/>
    <w:rsid w:val="00C77737"/>
    <w:rsid w:val="00C876C6"/>
    <w:rsid w:val="00C94E4F"/>
    <w:rsid w:val="00C951D2"/>
    <w:rsid w:val="00C9579A"/>
    <w:rsid w:val="00CA6DFF"/>
    <w:rsid w:val="00CA7227"/>
    <w:rsid w:val="00CA7C35"/>
    <w:rsid w:val="00CB0F39"/>
    <w:rsid w:val="00CB203B"/>
    <w:rsid w:val="00CB2BA8"/>
    <w:rsid w:val="00CB60A9"/>
    <w:rsid w:val="00CC66CA"/>
    <w:rsid w:val="00CC7F01"/>
    <w:rsid w:val="00CD1BAA"/>
    <w:rsid w:val="00CD2787"/>
    <w:rsid w:val="00CD3DB8"/>
    <w:rsid w:val="00CD409B"/>
    <w:rsid w:val="00CD5083"/>
    <w:rsid w:val="00CD5D35"/>
    <w:rsid w:val="00CD7B23"/>
    <w:rsid w:val="00CE2BCC"/>
    <w:rsid w:val="00CE2C20"/>
    <w:rsid w:val="00CE645D"/>
    <w:rsid w:val="00CF073F"/>
    <w:rsid w:val="00D02C6D"/>
    <w:rsid w:val="00D0345C"/>
    <w:rsid w:val="00D03A6A"/>
    <w:rsid w:val="00D0409D"/>
    <w:rsid w:val="00D1309A"/>
    <w:rsid w:val="00D136C0"/>
    <w:rsid w:val="00D23165"/>
    <w:rsid w:val="00D266D8"/>
    <w:rsid w:val="00D303D8"/>
    <w:rsid w:val="00D331E3"/>
    <w:rsid w:val="00D34DF9"/>
    <w:rsid w:val="00D36AF8"/>
    <w:rsid w:val="00D37492"/>
    <w:rsid w:val="00D37B65"/>
    <w:rsid w:val="00D4076D"/>
    <w:rsid w:val="00D43A80"/>
    <w:rsid w:val="00D43A88"/>
    <w:rsid w:val="00D443B0"/>
    <w:rsid w:val="00D45A3B"/>
    <w:rsid w:val="00D46B5A"/>
    <w:rsid w:val="00D52126"/>
    <w:rsid w:val="00D525F1"/>
    <w:rsid w:val="00D55E2F"/>
    <w:rsid w:val="00D55E3A"/>
    <w:rsid w:val="00D65F8D"/>
    <w:rsid w:val="00D67F94"/>
    <w:rsid w:val="00D70D1B"/>
    <w:rsid w:val="00D83302"/>
    <w:rsid w:val="00D85DE1"/>
    <w:rsid w:val="00D8705C"/>
    <w:rsid w:val="00D871A2"/>
    <w:rsid w:val="00D9301B"/>
    <w:rsid w:val="00D95495"/>
    <w:rsid w:val="00D954E3"/>
    <w:rsid w:val="00D96D85"/>
    <w:rsid w:val="00DA55C1"/>
    <w:rsid w:val="00DA7F6A"/>
    <w:rsid w:val="00DB1F0C"/>
    <w:rsid w:val="00DB3B5E"/>
    <w:rsid w:val="00DB675E"/>
    <w:rsid w:val="00DB7AE8"/>
    <w:rsid w:val="00DC1205"/>
    <w:rsid w:val="00DC28D7"/>
    <w:rsid w:val="00DC2B3A"/>
    <w:rsid w:val="00DC434C"/>
    <w:rsid w:val="00DC63EF"/>
    <w:rsid w:val="00DC7085"/>
    <w:rsid w:val="00DD0300"/>
    <w:rsid w:val="00DD1F96"/>
    <w:rsid w:val="00DD4808"/>
    <w:rsid w:val="00DD64C8"/>
    <w:rsid w:val="00DD74AC"/>
    <w:rsid w:val="00DE2150"/>
    <w:rsid w:val="00DF05F4"/>
    <w:rsid w:val="00DF296B"/>
    <w:rsid w:val="00DF5FEE"/>
    <w:rsid w:val="00E01EA0"/>
    <w:rsid w:val="00E049CF"/>
    <w:rsid w:val="00E11579"/>
    <w:rsid w:val="00E131CA"/>
    <w:rsid w:val="00E13DD6"/>
    <w:rsid w:val="00E14017"/>
    <w:rsid w:val="00E1620C"/>
    <w:rsid w:val="00E2304A"/>
    <w:rsid w:val="00E276B7"/>
    <w:rsid w:val="00E27766"/>
    <w:rsid w:val="00E300AF"/>
    <w:rsid w:val="00E30FC2"/>
    <w:rsid w:val="00E33AD0"/>
    <w:rsid w:val="00E33D36"/>
    <w:rsid w:val="00E34E05"/>
    <w:rsid w:val="00E3590F"/>
    <w:rsid w:val="00E546DF"/>
    <w:rsid w:val="00E554EA"/>
    <w:rsid w:val="00E663F2"/>
    <w:rsid w:val="00E7310B"/>
    <w:rsid w:val="00E7589C"/>
    <w:rsid w:val="00E7792B"/>
    <w:rsid w:val="00E801DC"/>
    <w:rsid w:val="00E81134"/>
    <w:rsid w:val="00E839FB"/>
    <w:rsid w:val="00E86F3A"/>
    <w:rsid w:val="00E97E94"/>
    <w:rsid w:val="00EA2E1D"/>
    <w:rsid w:val="00EA6AEB"/>
    <w:rsid w:val="00EA7F98"/>
    <w:rsid w:val="00EB0494"/>
    <w:rsid w:val="00EB1D27"/>
    <w:rsid w:val="00EB54A2"/>
    <w:rsid w:val="00EB5AA1"/>
    <w:rsid w:val="00EC2D43"/>
    <w:rsid w:val="00ED0C97"/>
    <w:rsid w:val="00ED113D"/>
    <w:rsid w:val="00ED7325"/>
    <w:rsid w:val="00EF4287"/>
    <w:rsid w:val="00EF5597"/>
    <w:rsid w:val="00F01998"/>
    <w:rsid w:val="00F026F2"/>
    <w:rsid w:val="00F04B4C"/>
    <w:rsid w:val="00F06CDD"/>
    <w:rsid w:val="00F10608"/>
    <w:rsid w:val="00F16440"/>
    <w:rsid w:val="00F16883"/>
    <w:rsid w:val="00F1704E"/>
    <w:rsid w:val="00F218C1"/>
    <w:rsid w:val="00F230F5"/>
    <w:rsid w:val="00F239FD"/>
    <w:rsid w:val="00F244CC"/>
    <w:rsid w:val="00F2750F"/>
    <w:rsid w:val="00F31A34"/>
    <w:rsid w:val="00F31E09"/>
    <w:rsid w:val="00F42539"/>
    <w:rsid w:val="00F4302D"/>
    <w:rsid w:val="00F43147"/>
    <w:rsid w:val="00F432CB"/>
    <w:rsid w:val="00F50727"/>
    <w:rsid w:val="00F51DB7"/>
    <w:rsid w:val="00F54B12"/>
    <w:rsid w:val="00F62758"/>
    <w:rsid w:val="00F62AE8"/>
    <w:rsid w:val="00F654A7"/>
    <w:rsid w:val="00F751DE"/>
    <w:rsid w:val="00F7673F"/>
    <w:rsid w:val="00F76804"/>
    <w:rsid w:val="00F80415"/>
    <w:rsid w:val="00F8102A"/>
    <w:rsid w:val="00F84CBB"/>
    <w:rsid w:val="00F87406"/>
    <w:rsid w:val="00F87FC8"/>
    <w:rsid w:val="00F91074"/>
    <w:rsid w:val="00F91A6A"/>
    <w:rsid w:val="00FA009F"/>
    <w:rsid w:val="00FA4291"/>
    <w:rsid w:val="00FA5391"/>
    <w:rsid w:val="00FA6CF4"/>
    <w:rsid w:val="00FB0BE8"/>
    <w:rsid w:val="00FB3033"/>
    <w:rsid w:val="00FC14E5"/>
    <w:rsid w:val="00FC1B3B"/>
    <w:rsid w:val="00FC5219"/>
    <w:rsid w:val="00FD1EEA"/>
    <w:rsid w:val="00FD778E"/>
    <w:rsid w:val="00FE3045"/>
    <w:rsid w:val="00FE5AEB"/>
    <w:rsid w:val="00FF109A"/>
    <w:rsid w:val="00FF27E7"/>
    <w:rsid w:val="00FF538B"/>
    <w:rsid w:val="00FF7F38"/>
    <w:rsid w:val="01DD5013"/>
    <w:rsid w:val="0334240F"/>
    <w:rsid w:val="03401E0E"/>
    <w:rsid w:val="039C5442"/>
    <w:rsid w:val="04180721"/>
    <w:rsid w:val="050A1096"/>
    <w:rsid w:val="057E120E"/>
    <w:rsid w:val="07B05C31"/>
    <w:rsid w:val="07FE51AA"/>
    <w:rsid w:val="09836607"/>
    <w:rsid w:val="09CE7D47"/>
    <w:rsid w:val="0C56381E"/>
    <w:rsid w:val="0CEB6B63"/>
    <w:rsid w:val="0D0C40DC"/>
    <w:rsid w:val="0E8026A3"/>
    <w:rsid w:val="0F6B0AEA"/>
    <w:rsid w:val="1097590F"/>
    <w:rsid w:val="127B3141"/>
    <w:rsid w:val="14872AA8"/>
    <w:rsid w:val="14EA2B4A"/>
    <w:rsid w:val="1757303C"/>
    <w:rsid w:val="18AD6DC0"/>
    <w:rsid w:val="19D118F1"/>
    <w:rsid w:val="1A4D2920"/>
    <w:rsid w:val="1B7E5400"/>
    <w:rsid w:val="1C1A5DA1"/>
    <w:rsid w:val="1DAD7DEE"/>
    <w:rsid w:val="203D20F4"/>
    <w:rsid w:val="2161068E"/>
    <w:rsid w:val="22305E3F"/>
    <w:rsid w:val="223310E4"/>
    <w:rsid w:val="224E24D7"/>
    <w:rsid w:val="225E06BF"/>
    <w:rsid w:val="262954F8"/>
    <w:rsid w:val="26BB03D1"/>
    <w:rsid w:val="27695E37"/>
    <w:rsid w:val="29736AC1"/>
    <w:rsid w:val="29CD0869"/>
    <w:rsid w:val="2ADB7C71"/>
    <w:rsid w:val="2C5F4402"/>
    <w:rsid w:val="2C990224"/>
    <w:rsid w:val="2DC91521"/>
    <w:rsid w:val="2E1346E9"/>
    <w:rsid w:val="33D16011"/>
    <w:rsid w:val="35934571"/>
    <w:rsid w:val="35B3402E"/>
    <w:rsid w:val="370D3AAC"/>
    <w:rsid w:val="37C05130"/>
    <w:rsid w:val="381D5718"/>
    <w:rsid w:val="38D05079"/>
    <w:rsid w:val="3A0C1A16"/>
    <w:rsid w:val="3AF4467F"/>
    <w:rsid w:val="3B5E28AB"/>
    <w:rsid w:val="3C125245"/>
    <w:rsid w:val="3CE758E8"/>
    <w:rsid w:val="403315B9"/>
    <w:rsid w:val="42A233A0"/>
    <w:rsid w:val="45D81825"/>
    <w:rsid w:val="45E4196F"/>
    <w:rsid w:val="465C457C"/>
    <w:rsid w:val="47FE77F8"/>
    <w:rsid w:val="485C36A3"/>
    <w:rsid w:val="48BC38E9"/>
    <w:rsid w:val="48D13E6A"/>
    <w:rsid w:val="49DD0F5C"/>
    <w:rsid w:val="4A4946DC"/>
    <w:rsid w:val="4A7F05E8"/>
    <w:rsid w:val="4FB17ED8"/>
    <w:rsid w:val="4FE20812"/>
    <w:rsid w:val="4FE969CC"/>
    <w:rsid w:val="5309679C"/>
    <w:rsid w:val="53BF2F72"/>
    <w:rsid w:val="5744749F"/>
    <w:rsid w:val="575B57D8"/>
    <w:rsid w:val="591D2FC1"/>
    <w:rsid w:val="59A763C9"/>
    <w:rsid w:val="5B376ACA"/>
    <w:rsid w:val="5B3C0CA8"/>
    <w:rsid w:val="5C496465"/>
    <w:rsid w:val="5FF615BD"/>
    <w:rsid w:val="601C63BD"/>
    <w:rsid w:val="60D873A0"/>
    <w:rsid w:val="614542DC"/>
    <w:rsid w:val="61537013"/>
    <w:rsid w:val="635F121E"/>
    <w:rsid w:val="63995BB7"/>
    <w:rsid w:val="649B3C51"/>
    <w:rsid w:val="662B4291"/>
    <w:rsid w:val="66362EBA"/>
    <w:rsid w:val="667C039E"/>
    <w:rsid w:val="66853179"/>
    <w:rsid w:val="67E433FF"/>
    <w:rsid w:val="68302156"/>
    <w:rsid w:val="69320A1D"/>
    <w:rsid w:val="697119CE"/>
    <w:rsid w:val="6AD42B62"/>
    <w:rsid w:val="6C0E32DA"/>
    <w:rsid w:val="6F130713"/>
    <w:rsid w:val="70007970"/>
    <w:rsid w:val="704D6211"/>
    <w:rsid w:val="711F7806"/>
    <w:rsid w:val="72C733DF"/>
    <w:rsid w:val="73807EBE"/>
    <w:rsid w:val="742121A8"/>
    <w:rsid w:val="77743BA0"/>
    <w:rsid w:val="7777600F"/>
    <w:rsid w:val="78D37FAF"/>
    <w:rsid w:val="7BCB3631"/>
    <w:rsid w:val="7BD93E20"/>
    <w:rsid w:val="7D1C63BE"/>
    <w:rsid w:val="7D216E7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7"/>
    <w:qFormat/>
    <w:uiPriority w:val="0"/>
    <w:pPr>
      <w:widowControl w:val="0"/>
      <w:autoSpaceDE w:val="0"/>
      <w:autoSpaceDN w:val="0"/>
      <w:adjustRightInd w:val="0"/>
      <w:spacing w:before="108" w:after="108" w:line="240" w:lineRule="auto"/>
      <w:jc w:val="center"/>
      <w:outlineLvl w:val="0"/>
    </w:pPr>
    <w:rPr>
      <w:rFonts w:ascii="Arial" w:hAnsi="Arial" w:eastAsia="Times New Roman" w:cs="Arial"/>
      <w:b/>
      <w:bCs/>
      <w:color w:val="000080"/>
      <w:sz w:val="24"/>
      <w:szCs w:val="24"/>
      <w:lang w:eastAsia="ru-RU"/>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unhideWhenUsed/>
    <w:qFormat/>
    <w:uiPriority w:val="99"/>
    <w:rPr>
      <w:color w:val="0000FF" w:themeColor="hyperlink"/>
      <w:u w:val="single"/>
      <w14:textFill>
        <w14:solidFill>
          <w14:schemeClr w14:val="hlink"/>
        </w14:solidFill>
      </w14:textFill>
    </w:rPr>
  </w:style>
  <w:style w:type="character" w:styleId="6">
    <w:name w:val="Strong"/>
    <w:basedOn w:val="3"/>
    <w:qFormat/>
    <w:uiPriority w:val="22"/>
    <w:rPr>
      <w:b/>
      <w:bCs/>
    </w:rPr>
  </w:style>
  <w:style w:type="paragraph" w:styleId="7">
    <w:name w:val="Balloon Text"/>
    <w:basedOn w:val="1"/>
    <w:link w:val="14"/>
    <w:semiHidden/>
    <w:unhideWhenUsed/>
    <w:qFormat/>
    <w:uiPriority w:val="99"/>
    <w:pPr>
      <w:spacing w:after="0" w:line="240" w:lineRule="auto"/>
    </w:pPr>
    <w:rPr>
      <w:rFonts w:ascii="Tahoma" w:hAnsi="Tahoma" w:cs="Tahoma"/>
      <w:sz w:val="16"/>
      <w:szCs w:val="16"/>
    </w:rPr>
  </w:style>
  <w:style w:type="paragraph" w:styleId="8">
    <w:name w:val="header"/>
    <w:basedOn w:val="1"/>
    <w:link w:val="20"/>
    <w:unhideWhenUsed/>
    <w:qFormat/>
    <w:uiPriority w:val="99"/>
    <w:pPr>
      <w:tabs>
        <w:tab w:val="center" w:pos="4677"/>
        <w:tab w:val="right" w:pos="9355"/>
      </w:tabs>
      <w:spacing w:after="0" w:line="240" w:lineRule="auto"/>
    </w:pPr>
  </w:style>
  <w:style w:type="paragraph" w:styleId="9">
    <w:name w:val="Body Text"/>
    <w:basedOn w:val="1"/>
    <w:link w:val="15"/>
    <w:qFormat/>
    <w:uiPriority w:val="0"/>
    <w:pPr>
      <w:spacing w:after="0" w:line="240" w:lineRule="auto"/>
      <w:jc w:val="both"/>
    </w:pPr>
    <w:rPr>
      <w:rFonts w:ascii="Times New Roman" w:hAnsi="Times New Roman" w:eastAsia="Times New Roman" w:cs="Times New Roman"/>
      <w:sz w:val="28"/>
      <w:szCs w:val="20"/>
      <w:lang w:eastAsia="ru-RU"/>
    </w:rPr>
  </w:style>
  <w:style w:type="paragraph" w:styleId="10">
    <w:name w:val="footer"/>
    <w:basedOn w:val="1"/>
    <w:link w:val="21"/>
    <w:unhideWhenUsed/>
    <w:qFormat/>
    <w:uiPriority w:val="99"/>
    <w:pPr>
      <w:tabs>
        <w:tab w:val="center" w:pos="4677"/>
        <w:tab w:val="right" w:pos="9355"/>
      </w:tabs>
      <w:spacing w:after="0" w:line="240" w:lineRule="auto"/>
    </w:pPr>
  </w:style>
  <w:style w:type="paragraph" w:styleId="11">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2">
    <w:name w:val="Body Text Indent 2"/>
    <w:basedOn w:val="1"/>
    <w:link w:val="18"/>
    <w:unhideWhenUsed/>
    <w:qFormat/>
    <w:uiPriority w:val="99"/>
    <w:pPr>
      <w:spacing w:after="120" w:line="480" w:lineRule="auto"/>
      <w:ind w:left="283"/>
    </w:pPr>
  </w:style>
  <w:style w:type="table" w:styleId="13">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Текст выноски Знак"/>
    <w:basedOn w:val="3"/>
    <w:link w:val="7"/>
    <w:semiHidden/>
    <w:qFormat/>
    <w:uiPriority w:val="99"/>
    <w:rPr>
      <w:rFonts w:ascii="Tahoma" w:hAnsi="Tahoma" w:cs="Tahoma"/>
      <w:sz w:val="16"/>
      <w:szCs w:val="16"/>
    </w:rPr>
  </w:style>
  <w:style w:type="character" w:customStyle="1" w:styleId="15">
    <w:name w:val="Основной текст Знак"/>
    <w:basedOn w:val="3"/>
    <w:link w:val="9"/>
    <w:qFormat/>
    <w:uiPriority w:val="0"/>
    <w:rPr>
      <w:rFonts w:ascii="Times New Roman" w:hAnsi="Times New Roman" w:eastAsia="Times New Roman" w:cs="Times New Roman"/>
      <w:sz w:val="28"/>
      <w:szCs w:val="20"/>
      <w:lang w:eastAsia="ru-RU"/>
    </w:rPr>
  </w:style>
  <w:style w:type="paragraph" w:styleId="16">
    <w:name w:val="List Paragraph"/>
    <w:basedOn w:val="1"/>
    <w:qFormat/>
    <w:uiPriority w:val="34"/>
    <w:pPr>
      <w:ind w:left="720"/>
      <w:contextualSpacing/>
    </w:pPr>
  </w:style>
  <w:style w:type="character" w:customStyle="1" w:styleId="17">
    <w:name w:val="Заголовок 1 Знак"/>
    <w:basedOn w:val="3"/>
    <w:link w:val="2"/>
    <w:qFormat/>
    <w:uiPriority w:val="0"/>
    <w:rPr>
      <w:rFonts w:ascii="Arial" w:hAnsi="Arial" w:eastAsia="Times New Roman" w:cs="Arial"/>
      <w:b/>
      <w:bCs/>
      <w:color w:val="000080"/>
      <w:sz w:val="24"/>
      <w:szCs w:val="24"/>
      <w:lang w:eastAsia="ru-RU"/>
    </w:rPr>
  </w:style>
  <w:style w:type="character" w:customStyle="1" w:styleId="18">
    <w:name w:val="Основной текст с отступом 2 Знак"/>
    <w:basedOn w:val="3"/>
    <w:link w:val="12"/>
    <w:qFormat/>
    <w:uiPriority w:val="99"/>
  </w:style>
  <w:style w:type="paragraph" w:customStyle="1" w:styleId="19">
    <w:name w:val="ConsPlusNormal"/>
    <w:qFormat/>
    <w:uiPriority w:val="0"/>
    <w:pPr>
      <w:autoSpaceDE w:val="0"/>
      <w:autoSpaceDN w:val="0"/>
      <w:adjustRightInd w:val="0"/>
    </w:pPr>
    <w:rPr>
      <w:rFonts w:ascii="Times New Roman" w:hAnsi="Times New Roman" w:cs="Times New Roman" w:eastAsiaTheme="minorHAnsi"/>
      <w:sz w:val="28"/>
      <w:szCs w:val="28"/>
      <w:lang w:val="ru-RU" w:eastAsia="en-US" w:bidi="ar-SA"/>
    </w:rPr>
  </w:style>
  <w:style w:type="character" w:customStyle="1" w:styleId="20">
    <w:name w:val="Верхний колонтитул Знак"/>
    <w:basedOn w:val="3"/>
    <w:link w:val="8"/>
    <w:qFormat/>
    <w:uiPriority w:val="99"/>
  </w:style>
  <w:style w:type="character" w:customStyle="1" w:styleId="21">
    <w:name w:val="Нижний колонтитул Знак"/>
    <w:basedOn w:val="3"/>
    <w:link w:val="10"/>
    <w:qFormat/>
    <w:uiPriority w:val="99"/>
  </w:style>
  <w:style w:type="character" w:customStyle="1" w:styleId="22">
    <w:name w:val="font21"/>
    <w:qFormat/>
    <w:uiPriority w:val="0"/>
    <w:rPr>
      <w:rFonts w:hint="default" w:ascii="Arial" w:hAnsi="Arial" w:cs="Arial"/>
      <w:color w:val="292C2F"/>
      <w:u w:val="none"/>
    </w:rPr>
  </w:style>
  <w:style w:type="character" w:customStyle="1" w:styleId="23">
    <w:name w:val="font11"/>
    <w:qFormat/>
    <w:uiPriority w:val="0"/>
    <w:rPr>
      <w:rFonts w:hint="default" w:ascii="Times New Roman" w:hAnsi="Times New Roman" w:cs="Times New Roman"/>
      <w:color w:val="00000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6993</Words>
  <Characters>39865</Characters>
  <Lines>332</Lines>
  <Paragraphs>93</Paragraphs>
  <TotalTime>11</TotalTime>
  <ScaleCrop>false</ScaleCrop>
  <LinksUpToDate>false</LinksUpToDate>
  <CharactersWithSpaces>46765</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2023-04-13T06:42:00Z</dcterms:created>
  <dc:creator>KSP1</dc:creator>
  <cp:lastModifiedBy>y_zhuravleva</cp:lastModifiedBy>
  <cp:lastPrinted>2025-04-21T11:01:00Z</cp:lastPrinted>
  <dcterms:modified xsi:type="dcterms:W3CDTF">2025-04-23T04:42:58Z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5026ED70E8044514A5A65CD8184D6466</vt:lpwstr>
  </property>
</Properties>
</file>