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D45E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КОНТРОЛЬНО - СЧЕТНАЯ ПАЛАТА МУНИЦИПАЛЬНОГО ОБРАЗОВАНИЯ </w:t>
      </w:r>
    </w:p>
    <w:p w14:paraId="0C1B6413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«АХТУБИНСКИЙ МУНИЦИПАЛЬНЫЙ РАЙОН АСТРАХАНСКОЙ ОБЛАСТИ»</w:t>
      </w:r>
    </w:p>
    <w:p w14:paraId="6072B09A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 xml:space="preserve">Волгоградская ул., д.141, г. Ахтубинск, Астраханская обл.,416500, Тел. (8-85141) 4-04-24 </w:t>
      </w:r>
    </w:p>
    <w:p w14:paraId="6F53E764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ОКПО 78317643, ОГРН 1063022000282, ИНН/КПП 3001040259/300101001</w:t>
      </w:r>
    </w:p>
    <w:p w14:paraId="11E539B5">
      <w:pPr>
        <w:pBdr>
          <w:top w:val="thinThickSmallGap" w:color="auto" w:sz="24" w:space="1"/>
        </w:pBdr>
        <w:spacing w:after="0" w:line="36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7289A94"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ЗАКЛЮЧЕНИЕ</w:t>
      </w:r>
    </w:p>
    <w:p w14:paraId="7B4444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 результатам внешней проверки годовой бюджетной отчётности</w:t>
      </w:r>
    </w:p>
    <w:p w14:paraId="70C5548C"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Администрация муниципального образования </w:t>
      </w:r>
    </w:p>
    <w:p w14:paraId="681D76EF">
      <w:pPr>
        <w:spacing w:after="0" w:line="240" w:lineRule="auto"/>
        <w:ind w:right="-144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«Ахтубинский муниципальный район Астраханской области» за 2024 год</w:t>
      </w:r>
    </w:p>
    <w:p w14:paraId="464EB3B6">
      <w:pPr>
        <w:spacing w:after="0" w:line="240" w:lineRule="auto"/>
        <w:ind w:left="567" w:right="-144" w:firstLine="567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AEB12C0">
      <w:pPr>
        <w:spacing w:after="0" w:line="240" w:lineRule="auto"/>
        <w:ind w:right="282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>.04.2025 г.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>№ З-1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 w:eastAsia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>/2025</w:t>
      </w:r>
    </w:p>
    <w:p w14:paraId="7144E7AF">
      <w:pPr>
        <w:spacing w:after="0" w:line="240" w:lineRule="auto"/>
        <w:ind w:left="567" w:right="282" w:firstLine="567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F3A2C3A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Основание для проведения контрольного мероприятия: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Статья 264.4 Бюджетного кодекса Российской Федерации, п.3.1. План работы Контрольно-счетной палаты муниципального образования «Ахтубинский муниципальный район Астраханской области» на 2025 год, распоряжение Контрольно-счетной палаты муниципального образования «Ахтубинский муниципальный район Астраханской области» от 20.03.2025 г. №10-р.</w:t>
      </w:r>
    </w:p>
    <w:p w14:paraId="4AA15CD5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Целью проведения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внешней проверки являются:</w:t>
      </w:r>
    </w:p>
    <w:p w14:paraId="01665F9F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установление полноты бюджетной отчетности главных администраторов средств районного бюджета;</w:t>
      </w:r>
    </w:p>
    <w:p w14:paraId="36743D50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оценка достоверности показателей бюджетной отчетности главных администраторов средств районного бюджета;</w:t>
      </w:r>
    </w:p>
    <w:p w14:paraId="4BBD5729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проверка на соответствие порядку ведения бюджетного учета, законодательству Российской Федерации, Астраханской области, муниципальным правовым актам Ахтубинского района;</w:t>
      </w:r>
    </w:p>
    <w:p w14:paraId="2ACEE3D6">
      <w:pPr>
        <w:pStyle w:val="1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анализ эффективности и результативности использования бюджетных средств.</w:t>
      </w:r>
    </w:p>
    <w:p w14:paraId="4AA722F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Проверяемый период: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2024 год.</w:t>
      </w:r>
    </w:p>
    <w:p w14:paraId="31667973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Предметом внешней проверки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является годовая бюджетная отчетность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Администрации муниципального образования «Ахтубинский муниципальный район Астраханской области»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за 2024 год.</w:t>
      </w:r>
    </w:p>
    <w:p w14:paraId="5D687020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Метод проведения проверки: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камеральный, выборочный.</w:t>
      </w:r>
    </w:p>
    <w:p w14:paraId="6921C6F7"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Срок проведения контрольного мероприятия: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с 20.03.2025 г. по 19.04.2025 г.</w:t>
      </w:r>
    </w:p>
    <w:p w14:paraId="5735FFC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Ответственные должностные лица, подписавшие отчетность:</w:t>
      </w:r>
    </w:p>
    <w:p w14:paraId="2E3330E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ВРИП главы муниципального образования «Ахтубинский муниципальный район Астраханской области» - Лопушенко В.Ю.</w:t>
      </w:r>
    </w:p>
    <w:p w14:paraId="4F161EFD">
      <w:pPr>
        <w:spacing w:after="0" w:line="240" w:lineRule="auto"/>
        <w:ind w:right="-2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Начальник отдела бухгалтерского учёта - Ясинкая Н.В.</w:t>
      </w:r>
    </w:p>
    <w:p w14:paraId="2E9FCBDF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Исполнитель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контрольного мероприятия: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председатель Контрольно-счетной палаты Журавлева Ю.Ю.</w:t>
      </w:r>
    </w:p>
    <w:p w14:paraId="30AF78A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Применяемые сокращения:</w:t>
      </w:r>
    </w:p>
    <w:p w14:paraId="4EDF4263">
      <w:pPr>
        <w:spacing w:after="0" w:line="240" w:lineRule="auto"/>
        <w:ind w:firstLine="488" w:firstLineChars="200"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Контрольно-счетная палата муниципального образования «Ахтубинский муниципальный район Астраханской области» далее -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Контрольно-счетная палата, КСП МО «Ахтубинский район»;</w:t>
      </w:r>
    </w:p>
    <w:p w14:paraId="29DC06AB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Администрация муниципального образования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«Ахтубинский муниципальный район Астраханской области» -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Администрация МО «Ахтубинский район»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;</w:t>
      </w:r>
    </w:p>
    <w:p w14:paraId="5162B2ED">
      <w:pPr>
        <w:pStyle w:val="15"/>
        <w:spacing w:after="120" w:afterLines="50" w:line="240" w:lineRule="auto"/>
        <w:ind w:left="0" w:firstLine="480" w:firstLineChars="200"/>
        <w:jc w:val="both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Приказ финансового управления администрации муниципального образования «Ахтубинский муниципальный район Астраханской области» «О внесении изменений в сводную бюджетную роспись бюджета муниципального образования «Ахтубинский муниципальный район Астраханской области» на 2024 год и плановый период 2025 и 2026 годов» от 28.12.2024 г. №180-С -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сводная бюджетная роспись от 28.12.2024 г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4C22A2CC">
      <w:pPr>
        <w:spacing w:after="0" w:line="240" w:lineRule="auto"/>
        <w:ind w:right="79" w:firstLine="480" w:firstLineChars="20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Основанием для проведения внешней проверки годового отчета за 2024 год являются следующие нормативные правовые акты:</w:t>
      </w:r>
    </w:p>
    <w:p w14:paraId="6C9DA17E">
      <w:pPr>
        <w:spacing w:after="0" w:line="240" w:lineRule="auto"/>
        <w:ind w:right="7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Бюджетный кодекс Российской Федерации (далее – БК РФ);</w:t>
      </w:r>
    </w:p>
    <w:p w14:paraId="120C60C2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Порядок осуществления внешней проверки годового отчета об исполнении бюджета муниципального образования «Ахтубинский район», утвержденным решением Совета МО «Ахтубинский район» от 16.03.2017г №295 (далее –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16.03.2017г №295); </w:t>
      </w:r>
    </w:p>
    <w:p w14:paraId="6EEC391A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№191н);</w:t>
      </w:r>
    </w:p>
    <w:p w14:paraId="165F05FE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№157н);</w:t>
      </w:r>
    </w:p>
    <w:p w14:paraId="17EAEA2D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Приказ Минфина России от 06.12.2010 №162н «Об утверждении Плана счетов бюджетного учета и Инструкции по его применению» (далее – Инструкция №162н).</w:t>
      </w:r>
    </w:p>
    <w:p w14:paraId="024940C5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Приказ Минфина России от 31.12.2016 №257н «Об утверждении федерального стандарта бухгалтерского учета для организаций государственного сектора «Основные средства» (далее - Приказ от 31.12.2016 №257н);</w:t>
      </w:r>
    </w:p>
    <w:p w14:paraId="6C7C0477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- Приказ Минфина России от 15.04.2021 №61н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Приказ от 15.04.2021 №61н)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 w14:paraId="112A6D64">
      <w:pPr>
        <w:pStyle w:val="15"/>
        <w:spacing w:after="0" w:line="240" w:lineRule="auto"/>
        <w:ind w:left="0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</w:p>
    <w:p w14:paraId="79FB778C">
      <w:pPr>
        <w:suppressAutoHyphens/>
        <w:spacing w:after="0" w:line="240" w:lineRule="auto"/>
        <w:ind w:firstLine="709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 Общие сведения</w:t>
      </w:r>
    </w:p>
    <w:p w14:paraId="2EE96005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Полное наименование: 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дминистрация муниципального образования «Ахтубинский муниципальный район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 w14:paraId="63C9292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Местонахождение объекта контроля и его юридический адрес: 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416500 Россия, Астраханская область, г. Ахтубинск, ул. Волгоградская, 141.</w:t>
      </w:r>
    </w:p>
    <w:p w14:paraId="6F5C0288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Контактная информация: телефон/факс: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(85141) 4-04-01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05ABAA3D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Официальная эл. почта: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adm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mo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ahtubinsk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@mail.ru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4C5DBEEE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ИНН/КПП: 3012000794/ 300101001.</w:t>
      </w:r>
    </w:p>
    <w:p w14:paraId="26159B4B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Подведомственное учреждение: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Муниципальное казенное учреждение «Управление по хозяйственному и транспортному обеспечению муниципального образования «Ахтубинский район».</w:t>
      </w:r>
    </w:p>
    <w:p w14:paraId="45A4D878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открыты лицевые счета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Территориальном отделе №9 Управления Федерального казначейства по Астраханской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действующие в проверяемом периоде и на момент проверки:</w:t>
      </w:r>
    </w:p>
    <w:p w14:paraId="08097F44">
      <w:pPr>
        <w:widowControl w:val="0"/>
        <w:suppressAutoHyphens/>
        <w:overflowPunct w:val="0"/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№1</w:t>
      </w:r>
    </w:p>
    <w:tbl>
      <w:tblPr>
        <w:tblStyle w:val="4"/>
        <w:tblW w:w="1034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52"/>
        <w:gridCol w:w="8075"/>
      </w:tblGrid>
      <w:tr w14:paraId="18850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A2A691"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№</w:t>
            </w:r>
          </w:p>
          <w:p w14:paraId="2C21072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п/п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6FA7F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Номер лицевого счета</w:t>
            </w:r>
          </w:p>
        </w:tc>
        <w:tc>
          <w:tcPr>
            <w:tcW w:w="8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D34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Назначение счета</w:t>
            </w:r>
          </w:p>
        </w:tc>
      </w:tr>
      <w:tr w14:paraId="20916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21E0A6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C996BB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01253D04010</w:t>
            </w:r>
          </w:p>
        </w:tc>
        <w:tc>
          <w:tcPr>
            <w:tcW w:w="8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A51A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 xml:space="preserve"> счёт ГРБС</w:t>
            </w:r>
          </w:p>
        </w:tc>
      </w:tr>
      <w:tr w14:paraId="625F0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781DC3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EDF1D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03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04010</w:t>
            </w:r>
          </w:p>
        </w:tc>
        <w:tc>
          <w:tcPr>
            <w:tcW w:w="8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8AD5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ПБС</w:t>
            </w:r>
          </w:p>
        </w:tc>
      </w:tr>
      <w:tr w14:paraId="2B88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496F0C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21B725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04253D04010</w:t>
            </w:r>
          </w:p>
        </w:tc>
        <w:tc>
          <w:tcPr>
            <w:tcW w:w="8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4338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 xml:space="preserve"> счёт администратора доходов</w:t>
            </w:r>
          </w:p>
        </w:tc>
      </w:tr>
      <w:tr w14:paraId="2DF7C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23785A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9D1669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hAnsi="Times New Roman" w:eastAsia="Calibri" w:cs="Times New Roman"/>
                <w:bCs/>
              </w:rPr>
              <w:t>253</w:t>
            </w:r>
            <w:r>
              <w:rPr>
                <w:rFonts w:ascii="Times New Roman" w:hAnsi="Times New Roman" w:eastAsia="Calibri" w:cs="Times New Roman"/>
                <w:bCs/>
                <w:lang w:val="en-US"/>
              </w:rPr>
              <w:t>D</w:t>
            </w:r>
            <w:r>
              <w:rPr>
                <w:rFonts w:ascii="Times New Roman" w:hAnsi="Times New Roman" w:eastAsia="Calibri" w:cs="Times New Roman"/>
                <w:bCs/>
              </w:rPr>
              <w:t>04010</w:t>
            </w:r>
          </w:p>
        </w:tc>
        <w:tc>
          <w:tcPr>
            <w:tcW w:w="8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1C20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для учёта операций со средствами, поступающими во временное распоряжение получателя бюджетных средств</w:t>
            </w:r>
          </w:p>
        </w:tc>
      </w:tr>
      <w:tr w14:paraId="1FF6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1C291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2039C9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val="en-US" w:eastAsia="ru-RU"/>
              </w:rPr>
              <w:t>08253D04010</w:t>
            </w:r>
          </w:p>
        </w:tc>
        <w:tc>
          <w:tcPr>
            <w:tcW w:w="8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77A0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>Лицевой счёт администратора источников внутреннего финансирования дефицита бюджета</w:t>
            </w:r>
          </w:p>
        </w:tc>
      </w:tr>
    </w:tbl>
    <w:p w14:paraId="6A7CB91F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Ответственными должностными лицами за финансово - хозяйственную деятельность Администрации в проверяемом периоде являлись с правом:</w:t>
      </w:r>
    </w:p>
    <w:p w14:paraId="3B2E58AB"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первой подписи:</w:t>
      </w:r>
    </w:p>
    <w:p w14:paraId="526E4373">
      <w:pPr>
        <w:pStyle w:val="10"/>
        <w:spacing w:before="0" w:beforeAutospacing="0" w:afterAutospacing="0"/>
        <w:jc w:val="both"/>
      </w:pPr>
      <w:r>
        <w:t>- Глава МО «Ахтубинский район» - Михед Владимир Васильевич, назначен на должность с 14.07.2022г. по настоящее время (Решение Совета МО «Ахтубинский район» от 14.07.2022 №296);</w:t>
      </w:r>
    </w:p>
    <w:p w14:paraId="0B880E81">
      <w:pPr>
        <w:pStyle w:val="10"/>
        <w:spacing w:before="0" w:beforeAutospacing="0" w:afterAutospacing="0"/>
        <w:jc w:val="both"/>
      </w:pPr>
      <w:r>
        <w:t xml:space="preserve">- заместитель главы МО «Ахтубинский район» - Лопушенко Виктория Юрьевна, назначена на должность 27.01.2023 г. (распоряжение администрации МО «Ахтубинский район» от 27.01.2023 №13л/с), в настоящее время исполняет полномочия главы МО «Ахтубинский район», согласно Решения Совета муниципального образования «Ахтубинский муниципальный район Астраханской области» от 31.01.2025 №52. </w:t>
      </w:r>
    </w:p>
    <w:p w14:paraId="6E387516">
      <w:pPr>
        <w:pStyle w:val="10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>второй подписи:</w:t>
      </w:r>
    </w:p>
    <w:p w14:paraId="1780BF7A">
      <w:pPr>
        <w:pStyle w:val="10"/>
        <w:spacing w:before="0" w:beforeAutospacing="0" w:afterAutospacing="0"/>
        <w:jc w:val="both"/>
      </w:pPr>
      <w:r>
        <w:t>Начальник отдела бухгалтерского учета - Ясинская Нина Викторовна, назначена на должность 15.11.2023 по настоящее время (распоряжение администрации МО «Ахтубинский район» от 15.11.2023 №214л/с).</w:t>
      </w:r>
    </w:p>
    <w:p w14:paraId="3DF8B753">
      <w:pPr>
        <w:pStyle w:val="10"/>
        <w:spacing w:before="0" w:beforeAutospacing="0" w:after="0" w:afterAutospacing="0"/>
        <w:ind w:firstLine="709"/>
        <w:jc w:val="both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В соответствии со ст. 264.4 БК РФ, п.3.3. Порядка от 16.03.2017 № 295 для ГРБС установлен срок представления годовой отчетности не позднее 20 марта текущего финансового года.</w:t>
      </w:r>
    </w:p>
    <w:p w14:paraId="612482DB">
      <w:pPr>
        <w:widowControl w:val="0"/>
        <w:suppressAutoHyphens/>
        <w:overflowPunct w:val="0"/>
        <w:spacing w:after="72" w:afterLines="3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Бюджетная отчетность за 2024 год направлена в адрес КСП МО «Ахтубинский район» в соответствии с установленным сроком (письмо от 20.03.2025 исх. №46).</w:t>
      </w:r>
    </w:p>
    <w:p w14:paraId="50C8C5E1">
      <w:pPr>
        <w:pStyle w:val="15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Предоставление годовой бюджетной отчетности</w:t>
      </w:r>
    </w:p>
    <w:p w14:paraId="6537BC8E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Проверка комплектности, соответствия и полноты информации бюджетной отчетности проведена в соответствии с требованиями Инструкции № 191н. </w:t>
      </w:r>
    </w:p>
    <w:p w14:paraId="112E7EF8">
      <w:pPr>
        <w:pStyle w:val="1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п.11.1, п.59.1, п.70.1 Инструкции №191н представлена следующая бюджетная отчетность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 w14:paraId="0ACFDB3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Таблица №2</w:t>
      </w:r>
    </w:p>
    <w:tbl>
      <w:tblPr>
        <w:tblStyle w:val="12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15"/>
        <w:gridCol w:w="1942"/>
      </w:tblGrid>
      <w:tr w14:paraId="3F393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3E8BE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715" w:type="dxa"/>
            <w:vAlign w:val="center"/>
          </w:tcPr>
          <w:p w14:paraId="041AF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</w:tc>
        <w:tc>
          <w:tcPr>
            <w:tcW w:w="1942" w:type="dxa"/>
            <w:vAlign w:val="center"/>
          </w:tcPr>
          <w:p w14:paraId="50B0D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Форма</w:t>
            </w:r>
          </w:p>
        </w:tc>
      </w:tr>
      <w:tr w14:paraId="322A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7D243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15" w:type="dxa"/>
            <w:vAlign w:val="center"/>
          </w:tcPr>
          <w:p w14:paraId="587C8C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Баланс</w:t>
            </w:r>
          </w:p>
        </w:tc>
        <w:tc>
          <w:tcPr>
            <w:tcW w:w="1942" w:type="dxa"/>
            <w:vAlign w:val="center"/>
          </w:tcPr>
          <w:p w14:paraId="38B9D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ф.0503130</w:t>
            </w:r>
          </w:p>
        </w:tc>
      </w:tr>
      <w:tr w14:paraId="4825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6EF41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15" w:type="dxa"/>
            <w:vAlign w:val="center"/>
          </w:tcPr>
          <w:p w14:paraId="78B0A4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Справка по консолидируемым расчетам</w:t>
            </w:r>
          </w:p>
        </w:tc>
        <w:tc>
          <w:tcPr>
            <w:tcW w:w="1942" w:type="dxa"/>
            <w:vAlign w:val="center"/>
          </w:tcPr>
          <w:p w14:paraId="7DC17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ф.0503125</w:t>
            </w:r>
          </w:p>
        </w:tc>
      </w:tr>
      <w:tr w14:paraId="6565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2CAF1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15" w:type="dxa"/>
            <w:vAlign w:val="center"/>
          </w:tcPr>
          <w:p w14:paraId="5C9442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942" w:type="dxa"/>
            <w:vAlign w:val="center"/>
          </w:tcPr>
          <w:p w14:paraId="7C71F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ф.0503110</w:t>
            </w:r>
          </w:p>
        </w:tc>
      </w:tr>
      <w:tr w14:paraId="3BD9C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147C71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15" w:type="dxa"/>
            <w:vAlign w:val="center"/>
          </w:tcPr>
          <w:p w14:paraId="4CC5B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(ГРБС)</w:t>
            </w:r>
          </w:p>
        </w:tc>
        <w:tc>
          <w:tcPr>
            <w:tcW w:w="1942" w:type="dxa"/>
            <w:vAlign w:val="center"/>
          </w:tcPr>
          <w:p w14:paraId="07736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ф.0503127</w:t>
            </w:r>
          </w:p>
        </w:tc>
      </w:tr>
      <w:tr w14:paraId="37AC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6530E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15" w:type="dxa"/>
            <w:vAlign w:val="center"/>
          </w:tcPr>
          <w:p w14:paraId="19B672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(ПБС)</w:t>
            </w:r>
          </w:p>
        </w:tc>
        <w:tc>
          <w:tcPr>
            <w:tcW w:w="1942" w:type="dxa"/>
            <w:vAlign w:val="center"/>
          </w:tcPr>
          <w:p w14:paraId="76CE1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ф.0503127</w:t>
            </w:r>
          </w:p>
        </w:tc>
      </w:tr>
      <w:tr w14:paraId="6FF5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79F61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15" w:type="dxa"/>
            <w:vAlign w:val="center"/>
          </w:tcPr>
          <w:p w14:paraId="659C8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Отчет о бюджетных обязательствах (ГРБС)</w:t>
            </w:r>
          </w:p>
        </w:tc>
        <w:tc>
          <w:tcPr>
            <w:tcW w:w="1942" w:type="dxa"/>
            <w:vAlign w:val="center"/>
          </w:tcPr>
          <w:p w14:paraId="25959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ф.0503128</w:t>
            </w:r>
          </w:p>
        </w:tc>
      </w:tr>
      <w:tr w14:paraId="6764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255A22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15" w:type="dxa"/>
            <w:vAlign w:val="center"/>
          </w:tcPr>
          <w:p w14:paraId="139BDB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Отчет о бюджетных назначениях (ПБС)</w:t>
            </w:r>
          </w:p>
        </w:tc>
        <w:tc>
          <w:tcPr>
            <w:tcW w:w="1942" w:type="dxa"/>
            <w:vAlign w:val="center"/>
          </w:tcPr>
          <w:p w14:paraId="5E182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ф.0503128</w:t>
            </w:r>
          </w:p>
        </w:tc>
      </w:tr>
      <w:tr w14:paraId="49B1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17D6A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15" w:type="dxa"/>
            <w:vAlign w:val="center"/>
          </w:tcPr>
          <w:p w14:paraId="7E9C90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Отчет о финансовых результатах деятельности</w:t>
            </w:r>
          </w:p>
        </w:tc>
        <w:tc>
          <w:tcPr>
            <w:tcW w:w="1942" w:type="dxa"/>
            <w:vAlign w:val="center"/>
          </w:tcPr>
          <w:p w14:paraId="01A38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ф.0503121</w:t>
            </w:r>
          </w:p>
        </w:tc>
      </w:tr>
      <w:tr w14:paraId="4E5F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2F09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15" w:type="dxa"/>
            <w:vAlign w:val="center"/>
          </w:tcPr>
          <w:p w14:paraId="14E193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Отчет о движении денежных средств</w:t>
            </w:r>
          </w:p>
        </w:tc>
        <w:tc>
          <w:tcPr>
            <w:tcW w:w="1942" w:type="dxa"/>
            <w:vAlign w:val="center"/>
          </w:tcPr>
          <w:p w14:paraId="1A2455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"consultantplus://offline/ref=866B7735309E47EE23AA00AC4214A1F2B97FFF0A08BEA69DFC7B609C652D3BC02865D8F8467701640A393B50B260736D7AEDB1DFE2730F67W6o3F"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E89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vAlign w:val="center"/>
          </w:tcPr>
          <w:p w14:paraId="7EF73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15" w:type="dxa"/>
            <w:vAlign w:val="center"/>
          </w:tcPr>
          <w:p w14:paraId="437584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Пояснительная записка</w:t>
            </w:r>
          </w:p>
        </w:tc>
        <w:tc>
          <w:tcPr>
            <w:tcW w:w="1942" w:type="dxa"/>
            <w:vAlign w:val="center"/>
          </w:tcPr>
          <w:p w14:paraId="3E6F2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ф.0503160</w:t>
            </w:r>
          </w:p>
        </w:tc>
      </w:tr>
    </w:tbl>
    <w:p w14:paraId="0321EC6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 сводной пояснительной записке (ф.0503160) представлены следующие таблицы и приложения:</w:t>
      </w:r>
    </w:p>
    <w:p w14:paraId="7BD079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Таблица №4 «Сведения об основных положениях учетной политики»;</w:t>
      </w:r>
    </w:p>
    <w:p w14:paraId="58A5F9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Таблица №11 «Сведения об организационной структуре субъекта бюджетной отчетности»;</w:t>
      </w:r>
    </w:p>
    <w:p w14:paraId="1E90FF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Таблица №12 «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результатах деятельности субъекта бюджетной отчетности»;</w:t>
      </w:r>
    </w:p>
    <w:p w14:paraId="2D3DDB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таблица №13 «Анализ отчета об исполнении бюджета субъектом бюджетной отчетности»;</w:t>
      </w:r>
    </w:p>
    <w:p w14:paraId="21F266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Таблица №16 «Прочие вопросы деятельности субъекта бюджетной отчетности»;</w:t>
      </w:r>
    </w:p>
    <w:p w14:paraId="15AC4E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«Сведения об исполнении бюджета» (ф.0503164);</w:t>
      </w:r>
    </w:p>
    <w:p w14:paraId="2E84C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«Сведения о движении нефинансовых активов» (ф.0503168);</w:t>
      </w:r>
    </w:p>
    <w:p w14:paraId="31BE79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«Сведения по дебиторской и кредиторской задолженности» (ф.0503169);</w:t>
      </w:r>
    </w:p>
    <w:p w14:paraId="49CF88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«Сведения о финансовых вложениях получателя бюджетных средств,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администратора источников финансирования дефицита бюджета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 (ф.0503171);</w:t>
      </w:r>
    </w:p>
    <w:p w14:paraId="6923686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изменении остатков валюты баланса» (ф.0503173);</w:t>
      </w:r>
    </w:p>
    <w:p w14:paraId="26A36D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«Сведения о принятых и неисполненных обязательствах получателя бюджетных средств» (ф.0503175);</w:t>
      </w:r>
    </w:p>
    <w:p w14:paraId="2820D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«Сведения об остатках денежных средств на счетах получателя бюджетных средств» (средства во временном распоряжении) (ф.0503178);</w:t>
      </w:r>
    </w:p>
    <w:p w14:paraId="411ECB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вложениях в объекты недвижимого имущества, объектах незавершенного строительства» (ф.0503190);</w:t>
      </w:r>
    </w:p>
    <w:p w14:paraId="432F483C">
      <w:pPr>
        <w:spacing w:after="72" w:afterLines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«С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ведения об исполнении судебных решений по денежным обязательствам»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(ф.0503296).</w:t>
      </w:r>
    </w:p>
    <w:p w14:paraId="71A46F6A">
      <w:pPr>
        <w:spacing w:after="72" w:afterLines="3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Дополнительно предоставлены: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Главные книги за 2024 год Администрации МО «Ахтубинский район», 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МКУ «УХТО»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материалы по инвентаризации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9030D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Во исполнение п.4 Инструкции №191н бюджетная отчетность представлена на бумажном носителе в сброшюрованном и пронумерованном виде с оглавлением и сопроводительным письмом. Бюджетная отчетность содержит все формы отчетов (за исключением форм бюджетной отчетности, не имеющих числового значения) и подписана главным бухгалтером Ясинской Н.В. и руководителем Лопушенко В.Ю. </w:t>
      </w:r>
    </w:p>
    <w:p w14:paraId="28682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Бюджетная отчетность составлена нарастающим итогом с начала года в рублях с точностью до второго десятичного знака после запятой (п.9 Инструкции №191н).</w:t>
      </w:r>
    </w:p>
    <w:p w14:paraId="671F28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Результаты проведения проверки выполнения контрольных соотношений между показателями форм бюджетной отчетности в автоматическом режиме подтверждены протоколом проверки междокументных контрольных соотношений с отметкой «проверка выполнена успешно».</w:t>
      </w:r>
    </w:p>
    <w:p w14:paraId="22A32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Согласно п.7 Инструкции №191н в целях составления годовой бюджетной отчетности проводится инвентаризация активов и обязательств в порядке, установленном экономическим субъектом в рамках формирования его учетной политики. В целях подтверждения показателей годовой бюджетной отчетности в соответствии с Решениями о проведении инвентаризации: от 01.11.2024г. №0000-000007 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Администрации МО «Ахтубинский район», от 01.11.2024г. №0000-000005 МУК «УХТО»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проведена инвентаризация.</w:t>
      </w:r>
    </w:p>
    <w:p w14:paraId="55F106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результатам инвентаризации расхождений между фактическим наличием активов и состоянием расчетов с данными бюджетного учета не выявлено.</w:t>
      </w:r>
    </w:p>
    <w:p w14:paraId="7B0823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76092" w:themeColor="accent1" w:themeShade="BF"/>
          <w:sz w:val="16"/>
          <w:szCs w:val="16"/>
          <w:lang w:eastAsia="zh-CN"/>
        </w:rPr>
      </w:pPr>
    </w:p>
    <w:p w14:paraId="333FB9C9">
      <w:pPr>
        <w:numPr>
          <w:ilvl w:val="0"/>
          <w:numId w:val="2"/>
        </w:numPr>
        <w:spacing w:after="6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Проверка правильности составления, ведения бюджетной росписи ГРБС</w:t>
      </w:r>
    </w:p>
    <w:p w14:paraId="5900D9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В соответствии с п.1 ст.217, п.1 ст.219.1 БК РФ утвержден приказ Финансового управления от 31.12.2015 №44-с «Об утверждении Порядка составления и ведения сводной бюджетной росписи бюджета муниципального образования «Ахтубинский район» и бюджетных росписей главных распорядителей средств бюджета муниципального образования «Ахтубинский район» (главных администраторов источников финансирования дефицита бюджета муниципального образования «Ахтубинский район»), (далее - Порядок ведения бюджетной росписи).</w:t>
      </w:r>
    </w:p>
    <w:p w14:paraId="7FD322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В соответствии с установленным Порядком ведения бюджетной росписи, бюджетные ассигнования по расходам на 2024 год утверждены решением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муниципального образования «Ахтубинский муниципальный район Астраханской области» от 12.12.2024 №38 «О внесении изменений в решение Совета муниципального образования «Ахтубинский муниципальный район Астраханской области» от 07.12.2023 №390 «О бюджете муниципального образования «Ахтубинский муниципальный район Астраханской области» на 2024 год и плановый период 2025-2026 годов» и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сводной бюджетной росписью от 28.12.2024г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. </w:t>
      </w:r>
    </w:p>
    <w:p w14:paraId="32EDEF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В соответствии с требованиями Порядка ведения бюджетной росписи, бюджетные ассигнования по расходам утверждены в разрезе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групп, подгрупп видов расходов классификации расходов бюджета. </w:t>
      </w:r>
    </w:p>
    <w:p w14:paraId="5986BC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Показатели сводной бюджетной росписи главного распорядителя бюджетных средств представлены в таблице:</w:t>
      </w:r>
    </w:p>
    <w:p w14:paraId="48B4DFD9">
      <w:pPr>
        <w:wordWrap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Таблица №3 (руб.)</w:t>
      </w:r>
    </w:p>
    <w:tbl>
      <w:tblPr>
        <w:tblStyle w:val="4"/>
        <w:tblW w:w="10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567"/>
        <w:gridCol w:w="4196"/>
        <w:gridCol w:w="1799"/>
        <w:gridCol w:w="1807"/>
        <w:gridCol w:w="1560"/>
        <w:gridCol w:w="8"/>
      </w:tblGrid>
      <w:tr w14:paraId="4EE5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02" w:hRule="exact"/>
          <w:jc w:val="center"/>
        </w:trPr>
        <w:tc>
          <w:tcPr>
            <w:tcW w:w="10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A32669">
            <w:pPr>
              <w:ind w:left="-81" w:right="-108"/>
              <w:jc w:val="center"/>
              <w:textAlignment w:val="top"/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Раздел/</w:t>
            </w:r>
          </w:p>
          <w:p w14:paraId="3CC76183">
            <w:pPr>
              <w:ind w:left="-81" w:right="-108"/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подраздел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73F7A28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Наименование раздела, подраздела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81E2DB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Утверждено Решением Совета от 12.12.2024 №38 на 2024 год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DD671E">
            <w:pPr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2"/>
                <w:rFonts w:eastAsia="SimSun"/>
                <w:color w:val="000000" w:themeColor="text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Утверждено сводной бюджетной росписью от 28.12.2024г.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596146">
            <w:pPr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imSu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Изменение</w:t>
            </w:r>
          </w:p>
        </w:tc>
      </w:tr>
      <w:tr w14:paraId="34D5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20980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F341C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02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2370CA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37DF8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3436 354,54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26C30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3436 354,54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219485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7C6AA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5D2180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D76B74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04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B01C46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73108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39319 740,76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DA7A3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40251 060,76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8DEA6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931 320,00 </w:t>
            </w:r>
          </w:p>
        </w:tc>
      </w:tr>
      <w:tr w14:paraId="4A567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C684D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DE0E92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05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2E042A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Судебная система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F1D43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7 300,00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1BACC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7 300,00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A0DBF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4EC65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3BA0E8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B90C2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07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3FA520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Обеспечение проведения выборов и референдумов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8A751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2675 582,00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B127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2675 582,00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B12A7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548C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D4410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F8EBC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E9677D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Резервные фонды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FA6F8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1080 900,00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7F0A3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1025 900,00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5863A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-55 000,00 </w:t>
            </w:r>
          </w:p>
        </w:tc>
      </w:tr>
      <w:tr w14:paraId="51D05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23498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979E8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D964BF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B49CF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52454 063,30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08EEB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52696 743,30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DAFF6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242 680,00 </w:t>
            </w:r>
          </w:p>
        </w:tc>
      </w:tr>
      <w:tr w14:paraId="1AE00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DB26D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22507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03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B66609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ED589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141 100,00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2E1AE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196 100,00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C8878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55 000,00 </w:t>
            </w:r>
          </w:p>
        </w:tc>
      </w:tr>
      <w:tr w14:paraId="0000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1591E2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B476C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09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055DAF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Гражданская оборона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67561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318 821,22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A03D4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318 821,22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CE7BF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67E6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31C18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75CD0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A81D0D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962C3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1016 600,00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9FD4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916 600,00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ABBE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-100 000,00 </w:t>
            </w:r>
          </w:p>
        </w:tc>
      </w:tr>
      <w:tr w14:paraId="584E8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C41E7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CA027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05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6BBB982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Сельское хозяйство и рыболовство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3E109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11771 652,44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B3866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11771 652,44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68D93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575A0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23DBD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6C67B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09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5881AA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4E691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82958 483,21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7701D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82958 483,21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34586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6016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8AB9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FFBBA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940A8A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03A03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1095 294,74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6D366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1066 696,00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48FE3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-28 598,74 </w:t>
            </w:r>
          </w:p>
        </w:tc>
      </w:tr>
      <w:tr w14:paraId="0202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EFEF9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53BDB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9C11D4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Жилищное хозяйство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96F77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14010 205,20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7962F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14010 205,20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384D5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20E5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AD01A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7AAD7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02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4D2DD1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30DE5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11029 465,40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86A2A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11693 281,05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E0DC9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663 815,65 </w:t>
            </w:r>
          </w:p>
        </w:tc>
      </w:tr>
      <w:tr w14:paraId="20931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3E75D1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A1103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03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9F6128E">
            <w:pPr>
              <w:spacing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Благоустройство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8A16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162 816,01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A3E8F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162 816,01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91889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0FBB1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C25FF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06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A139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02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68C03BA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Сбор, удаление отходов и очистка сточных вод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8F508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1742 070,00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1AE1D1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1742 070,00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F6AC2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3C70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69BB3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07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6FB56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09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E03C7E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Другие вопросы в области образования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DF95F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1650 260,96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2DFD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1650 260,96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A8E06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581DE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F0577E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8FCED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E36184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Пенсионное обеспечение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FFD4C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12565 650,01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C051D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12565 650,01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03A7D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38A7B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05FB2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ABD9E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0BE1EF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Физическая культура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A231F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1106 140,00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59C62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1106 140,00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0E88D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567E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F2E1D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E679B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02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C761E3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Периодическая печать и издательства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701BD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1420 243,50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35425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1439 280,52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B6D295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19 037,02 </w:t>
            </w:r>
          </w:p>
        </w:tc>
      </w:tr>
      <w:tr w14:paraId="2E18D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2B9AB07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29D556C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01</w:t>
            </w:r>
          </w:p>
        </w:tc>
        <w:tc>
          <w:tcPr>
            <w:tcW w:w="41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3D0BFFC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9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1067681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37 080,07 </w:t>
            </w:r>
          </w:p>
        </w:tc>
        <w:tc>
          <w:tcPr>
            <w:tcW w:w="180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680ED7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37 080,07 </w:t>
            </w:r>
          </w:p>
        </w:tc>
        <w:tc>
          <w:tcPr>
            <w:tcW w:w="1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046F6646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 0,00 </w:t>
            </w:r>
          </w:p>
        </w:tc>
      </w:tr>
      <w:tr w14:paraId="3591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B4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03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0FE5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>ИТОГО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E94E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 xml:space="preserve">239999 823,36 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49C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 xml:space="preserve">241728 077,29 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7B88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lang w:val="en-US" w:eastAsia="zh-CN" w:bidi="ar"/>
              </w:rPr>
              <w:t xml:space="preserve">1728 253,93 </w:t>
            </w:r>
          </w:p>
        </w:tc>
      </w:tr>
    </w:tbl>
    <w:p w14:paraId="3C339CBE">
      <w:pPr>
        <w:spacing w:before="72" w:beforeLines="30"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В соответствии с представленной бухгалтерской отчетностью доходы, администрируемые Администрацией МО «Ахтубинский район», составили 1266510,66 руб. при плане 1204222,31 руб., исполнение составило 105,17%. Расходы составили 227931239,39 руб. при плане 241728077,29 руб., исполнение составило 94,29%.</w:t>
      </w:r>
    </w:p>
    <w:p w14:paraId="2338D19A">
      <w:pPr>
        <w:spacing w:after="6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Проверка правильности составления, ведения бюджетной отчетности</w:t>
      </w:r>
    </w:p>
    <w:p w14:paraId="702BA7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Проверкой полноты бюджетной отчетности в части ее соответствия по составу и установленным формам, достоверности отражения показателей бюджетной отчетности по их соответствию положениям Инструкции №191н определен выборочный способ проверки.</w:t>
      </w:r>
    </w:p>
    <w:p w14:paraId="68D90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требованиями п.7 Инструкции №191н бюджетная отчетность составлена:</w:t>
      </w:r>
    </w:p>
    <w:p w14:paraId="43BE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на основе данных Главной книги и (или) других регистров бюджетного учета; </w:t>
      </w:r>
    </w:p>
    <w:p w14:paraId="0CD38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на основе плановых (прогнозных) и (или) аналитических (управленческих) данных, сформированных в ходе осуществления субъектом учета своей деятельности.</w:t>
      </w:r>
    </w:p>
    <w:p w14:paraId="169D0D59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оказатели форм отчетности соответствуют остаткам и оборотам по счетам, отраженным в главной книге.</w:t>
      </w:r>
    </w:p>
    <w:p w14:paraId="384854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4.1. Справка по заключению счетов бюджетного учета отчетного финансового года (ф.0503110)</w:t>
      </w:r>
    </w:p>
    <w:p w14:paraId="3461CD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исполнение п.43 Инструкции №191н справка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(раздел 1 и раздел 3) и деятельности со средствами, поступающими во временное распоряжение (раздел 2).</w:t>
      </w:r>
    </w:p>
    <w:p w14:paraId="0C19C3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1 «Бюджетная деятельность» справки сформирован на основании данных по соответствующим номерам счетов 0.401.10 «Доходы текущего финансового года», 0.401.20 «Расходы текущего финансового года» в сумме показателей на 01.01.2025 (графы 2,3) и в сумме заключительных операций по закрытию счетов, произведенных по завершении 2024 года (графы 4-7). Данные показателей ф.0503110 сопоставимы с данными ф.0503121.</w:t>
      </w:r>
    </w:p>
    <w:p w14:paraId="0AB46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2"/>
          <w:szCs w:val="12"/>
          <w:highlight w:val="yellow"/>
        </w:rPr>
      </w:pPr>
    </w:p>
    <w:p w14:paraId="5CC75E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4.2. Отчет о финансовых результатах деятельности (ф.0503121)</w:t>
      </w:r>
    </w:p>
    <w:p w14:paraId="14F190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ф.0503121 представлен в составе годовой бюджетной отчетности (п.10, 92 Инструкции №191н). Во исполнение п.92-93 Инструкции №191н отчет содержит данные о финансовых результатах деятельности в разрезе кодов КОСГУ по состоянию на 01.01.2025 г., отраженные в рамках бюджетной деятельности (гр.4) и итогового показателя (гр.6).</w:t>
      </w:r>
    </w:p>
    <w:p w14:paraId="6C558BB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Таблица №4</w:t>
      </w:r>
    </w:p>
    <w:tbl>
      <w:tblPr>
        <w:tblStyle w:val="4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919"/>
        <w:gridCol w:w="2673"/>
      </w:tblGrid>
      <w:tr w14:paraId="4227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68273D87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№п/п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0E476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Показатель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1CCCCB8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Бюджетная деятельность, руб.</w:t>
            </w:r>
          </w:p>
        </w:tc>
      </w:tr>
      <w:tr w14:paraId="7531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51CC52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1091C0F2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Доходы (стр. 010)</w:t>
            </w:r>
          </w:p>
        </w:tc>
        <w:tc>
          <w:tcPr>
            <w:tcW w:w="2673" w:type="dxa"/>
            <w:shd w:val="clear" w:color="auto" w:fill="auto"/>
            <w:vAlign w:val="bottom"/>
          </w:tcPr>
          <w:p w14:paraId="0928773D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57069059,12</w:t>
            </w:r>
          </w:p>
        </w:tc>
      </w:tr>
      <w:tr w14:paraId="4A09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1E23F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2750F64D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Расходы (стр.150)</w:t>
            </w:r>
          </w:p>
        </w:tc>
        <w:tc>
          <w:tcPr>
            <w:tcW w:w="2673" w:type="dxa"/>
            <w:shd w:val="clear" w:color="auto" w:fill="auto"/>
            <w:vAlign w:val="bottom"/>
          </w:tcPr>
          <w:p w14:paraId="08B3D3E3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279201707,28</w:t>
            </w:r>
          </w:p>
        </w:tc>
      </w:tr>
      <w:tr w14:paraId="1F1E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490A8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0AA54A9C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Чистый операционный результат </w:t>
            </w:r>
          </w:p>
        </w:tc>
        <w:tc>
          <w:tcPr>
            <w:tcW w:w="2673" w:type="dxa"/>
            <w:shd w:val="clear" w:color="auto" w:fill="auto"/>
            <w:vAlign w:val="bottom"/>
          </w:tcPr>
          <w:p w14:paraId="1DCCDB06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-222132648,16</w:t>
            </w:r>
          </w:p>
        </w:tc>
      </w:tr>
      <w:tr w14:paraId="34C3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42340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79F15EBD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Операции с нефинансовыми активами (стр. 310)</w:t>
            </w:r>
          </w:p>
        </w:tc>
        <w:tc>
          <w:tcPr>
            <w:tcW w:w="2673" w:type="dxa"/>
            <w:shd w:val="clear" w:color="auto" w:fill="auto"/>
            <w:vAlign w:val="bottom"/>
          </w:tcPr>
          <w:p w14:paraId="6A425A89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6759453,88</w:t>
            </w:r>
          </w:p>
        </w:tc>
      </w:tr>
      <w:tr w14:paraId="22FD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729" w:type="dxa"/>
            <w:shd w:val="clear" w:color="auto" w:fill="auto"/>
            <w:vAlign w:val="center"/>
          </w:tcPr>
          <w:p w14:paraId="67831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00863F45">
            <w:pPr>
              <w:spacing w:after="0" w:line="240" w:lineRule="auto"/>
              <w:ind w:left="-60" w:right="-2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Операции с финансовыми активами и обязательствами (стр.410)</w:t>
            </w:r>
          </w:p>
        </w:tc>
        <w:tc>
          <w:tcPr>
            <w:tcW w:w="2673" w:type="dxa"/>
            <w:shd w:val="clear" w:color="auto" w:fill="auto"/>
            <w:vAlign w:val="bottom"/>
          </w:tcPr>
          <w:p w14:paraId="759B5B39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-228892102,04</w:t>
            </w:r>
          </w:p>
        </w:tc>
      </w:tr>
    </w:tbl>
    <w:p w14:paraId="65E2D68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Доходы в размере (57 069 059,12) руб. сложились за счет:</w:t>
      </w:r>
    </w:p>
    <w:p w14:paraId="76E1B8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налоговые доходы (код КОСГУ 110) - 25000,00 руб.;</w:t>
      </w:r>
    </w:p>
    <w:p w14:paraId="1C63E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доходы от собственности (код КОСГУ 120) - 473780,04 руб.;</w:t>
      </w:r>
    </w:p>
    <w:p w14:paraId="286674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доходы от оказания платных услуг (код КОСГУ 130) - 116409,88 руб.;</w:t>
      </w:r>
    </w:p>
    <w:p w14:paraId="3D3313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штрафы, пени, неустойки (код КОСГУ 140) - 395226,21 руб.;</w:t>
      </w:r>
    </w:p>
    <w:p w14:paraId="58FE7A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доходов от операций с активами (код КОСГУ 170) - (-1664983,77) руб.;</w:t>
      </w:r>
    </w:p>
    <w:p w14:paraId="53AEB3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-прочие доходы (код КОСГУ 180) - 312477,60 руб.;</w:t>
      </w:r>
    </w:p>
    <w:p w14:paraId="7E748E5B">
      <w:pPr>
        <w:spacing w:after="72" w:afterLines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безвозмездные неденежные поступления (код КОСГУ 190) - 57411149,16 руб.</w:t>
      </w:r>
    </w:p>
    <w:p w14:paraId="2B8F719F">
      <w:pPr>
        <w:spacing w:after="72" w:afterLines="3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4.3. Отчет о движении денежных средств (ф.0503123)</w:t>
      </w:r>
    </w:p>
    <w:p w14:paraId="6A8119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п.146 Инструкции №191н отчет содержит данные о движении денежных средств в кассе, на счете по состоянию на 01.01.2025г. и составлен в разрезе КОСГУ. Информация сгруппирована по видам операций: текущие, инвестиционные, финансовые. Показатели графы 4 Отчета (ф.0503123) сформированы на основании данных по видам поступлений и выбытий, с учетом возвратов текущего финансового периода.</w:t>
      </w:r>
    </w:p>
    <w:p w14:paraId="24645E51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Сумма </w:t>
      </w:r>
      <w:r>
        <w:fldChar w:fldCharType="begin"/>
      </w:r>
      <w:r>
        <w:instrText xml:space="preserve"> HYPERLINK "consultantplus://offline/ref=827AC9A5E62DFDDB7D04897F3119B8BA47CEE20C384A92A7311A1AF96C7C502A7D3D2E439D81FE5269D41AE7A2C3C7E592C86EE01B76D2wAEEL"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 5010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"consultantplus://offline/ref=827AC9A5E62DFDDB7D04897F3119B8BA47CEE20C384A92A7311A1AF96C7C502A7D3D2E439D81FE5169D41AE7A2C3C7E592C86EE01B76D2wAEEL"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5020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за вычетом </w:t>
      </w:r>
      <w:r>
        <w:fldChar w:fldCharType="begin"/>
      </w:r>
      <w:r>
        <w:instrText xml:space="preserve"> HYPERLINK "consultantplus://offline/ref=827AC9A5E62DFDDB7D04897F3119B8BA47CEE20C384A92A7311A1AF96C7C502A7D3D2E439D8EF85A69D41AE7A2C3C7E592C86EE01B76D2wAEEL"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строки 4400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суммы </w:t>
      </w:r>
      <w:r>
        <w:fldChar w:fldCharType="begin"/>
      </w:r>
      <w:r>
        <w:instrText xml:space="preserve"> HYPERLINK "consultantplus://offline/ref=827AC9A5E62DFDDB7D04897F3119B8BA47CEE20C384A92A7311A1AF96C7C502A7D3D2E439D8EF65469D41AE7A2C3C7E592C86EE01B76D2wAEEL"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 4610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"consultantplus://offline/ref=827AC9A5E62DFDDB7D04897F3119B8BA47CEE20C384A92A7311A1AF96C7C502A7D3D2E439D8EF65B69D41AE7A2C3C7E592C86EE01B76D2wAEEL"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4620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отчета (ф.0503123) равняется сумме </w:t>
      </w:r>
      <w:r>
        <w:fldChar w:fldCharType="begin"/>
      </w:r>
      <w:r>
        <w:instrText xml:space="preserve"> HYPERLINK "consultantplus://offline/ref=827AC9A5E62DFDDB7D04897F3119B8BA47CEE20C384A92A7311A1AF96C7C502A7D3D2E43998BFD5A608B1FF2B39BCBE58DD66AFA0774D0AFw8EDL"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строк 700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</w:t>
      </w:r>
      <w:r>
        <w:fldChar w:fldCharType="begin"/>
      </w:r>
      <w:r>
        <w:instrText xml:space="preserve"> HYPERLINK "consultantplus://offline/ref=827AC9A5E62DFDDB7D04897F3119B8BA47CEE20C384A92A7311A1AF96C7C502A7D3D2E43998BFD5A6B8B1FF2B39BCBE58DD66AFA0774D0AFw8EDL"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810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граф 5 и 6 Отчета (ф.0503127) без учета остатков в кассе.</w:t>
      </w:r>
    </w:p>
    <w:p w14:paraId="114BF153">
      <w:pPr>
        <w:spacing w:after="72" w:afterLines="3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4.4. Справка по консолидируемым расчетам (ф.0503125)</w:t>
      </w:r>
    </w:p>
    <w:p w14:paraId="7F56BFAF">
      <w:pPr>
        <w:tabs>
          <w:tab w:val="left" w:pos="1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п.23 Инструкции №191н справка по консолидируемым расчетам формируется для определения взаимосвязанных показателей, подлежащих исключению при формировании финансовым органом, консолидированных форм бюджетной отчетности и представляется на 1 января года, следующего за отчетным, по денежным и неденежным расчетам.</w:t>
      </w:r>
    </w:p>
    <w:p w14:paraId="54A428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Справка (ф.0503125) составлена нарастающим итогом с начала финансового года на основании данных, отраженных на отчетную дату на соответствующих счетах: 130111710 "Увеличение задолженности перед бюджетами бюджетной системы Российской Федерации по привлеченным бюджетным кредитам в рублях,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130111810 "Уменьшение задолженности перед бюджетами бюджетной системы Российской Федерации по привлеченным бюджетным кредитам в рублях", 130404000 "Внутриведомственные расчеты", 140120241 "Расходы на безвозмездные перечисления текущего характера государственным (муниципальным) учреждениям", 140120281 «Расходы на безвозмездные перечисления капитального характера государственным (муниципальным) учреждениям»,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140110195 «Доходы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сектора».</w:t>
      </w:r>
    </w:p>
    <w:p w14:paraId="0DE880D4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сопоставлении данных, содержащихся в Справке (ф.0503125), с показателями по соответствующим счетам, отраженным в Главной книге за 2024 год, нарушения не установлены.</w:t>
      </w:r>
    </w:p>
    <w:p w14:paraId="4C536CC2">
      <w:pPr>
        <w:spacing w:after="6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4.5.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</w:p>
    <w:p w14:paraId="54FFF6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Отчет раскрывает бюджетную </w:t>
      </w:r>
      <w:r>
        <w:fldChar w:fldCharType="begin"/>
      </w:r>
      <w:r>
        <w:instrText xml:space="preserve"> HYPERLINK "consultantplus://offline/ref=FF3DB571B2F08C93F47E057097A9F3D75329E5619206DA4B28C691DD3EF6BE472DB07AEE7B5DD32ED77D0113CBB4D33D5860C924B24DF3B3Y0E9M"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информацию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обеспечивает сопоставление утвержденных (доведенных) бюджетных назначений с данными об исполнении бюджета. При заполнении документа руководствуются </w:t>
      </w:r>
      <w:r>
        <w:fldChar w:fldCharType="begin"/>
      </w:r>
      <w:r>
        <w:instrText xml:space="preserve"> HYPERLINK "consultantplus://offline/ref=FF3DB571B2F08C93F47E057097A9F3D7532AE66E9508DA4B28C691DD3EF6BE472DB07AEE7B5DD725D77D0113CBB4D33D5860C924B24DF3B3Y0E9M"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п.п.52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"consultantplus://offline/ref=FF3DB571B2F08C93F47E057097A9F3D7532AE66E9508DA4B28C691DD3EF6BE472DB07AEE7B5DD62FD37D0113CBB4D33D5860C924B24DF3B3Y0E9M"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59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"consultantplus://offline/ref=FF3DB571B2F08C93F47E057097A9F3D7532AE66E9508DA4B28C691DD3EF6BE472DB07AEE7B5DD628D47D0113CBB4D33D5860C924B24DF3B3Y0E9M"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</w:t>
      </w:r>
      <w:r>
        <w:fldChar w:fldCharType="begin"/>
      </w:r>
      <w:r>
        <w:instrText xml:space="preserve"> HYPERLINK "consultantplus://offline/ref=FF3DB571B2F08C93F47E057097A9F3D7532AE66E9508DA4B28C691DD3EF6BE472DB07AE87956877D902358418FFFDE3D467CC925YAEDM"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62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Инструкции №191н.</w:t>
      </w:r>
    </w:p>
    <w:p w14:paraId="718895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по строке 500 раздела «Источники финансирования дефицита бюджета» в графах 5, 6, 7, 8 равны показателям, отраженным по строке 450 в графах 6, 7, 8, 9 соответственно, с противоположным знаком.</w:t>
      </w:r>
    </w:p>
    <w:p w14:paraId="5FBFB0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Отчета (ф.0503127) сопоставимы с показателями Отчета (ф.0503123) (отчет показывает движение денежных средств на счетах учреждения).</w:t>
      </w:r>
    </w:p>
    <w:p w14:paraId="294793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граф 4, 5 и 9 разд. 2 и 3 Отчета (ф.0503127) сопоставимы с показателями граф 4, 5 и 10 разд. 1 и 2 Отчета (ф.0503128) соответственно.</w:t>
      </w:r>
    </w:p>
    <w:p w14:paraId="05AD22FC">
      <w:pPr>
        <w:pStyle w:val="10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Сумма доходов, отраженная в Отчете (ф.0503127) по разделу «Доходы бюджета - всего» в графе 5 «Исполнено, через финансовые органы» – 1266510,66 руб. соответствует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кредитовым оборотам</w:t>
      </w:r>
      <w:r>
        <w:rPr>
          <w:rFonts w:eastAsiaTheme="minorHAnsi"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 xml:space="preserve"> по соответствующим счетам счета 210.02 «Расчеты с финансовым органом по поступлениям в бюджет» в главных книгах за 2024 год с учетом уточнений принадлежности платежей.</w:t>
      </w:r>
    </w:p>
    <w:p w14:paraId="4ABBA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Сумма расходов, отраженная в Отчете (ф.0503127) по разделу «Расходы бюджета - всего» в графе 6 «Исполнено, через финансовые органы» – 227931239,39 руб. соответствует кредитовым оборотам по соответствующим счетам счета 304.05 «Расчеты по платежам из бюджета с финансовым органом» в главных книгах за 2024 год с учетом возвратов на общую сумму 20803270,22 руб.</w:t>
      </w:r>
    </w:p>
    <w:p w14:paraId="1C4F89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п.59.1 Инструкции №191н сформирована дополнительная ф.0503127 содержащая данные о бюджетных назначениях по доходам, расходам, источникам финансирования дефицита бюджета. Нарушения не выявлены.</w:t>
      </w:r>
    </w:p>
    <w:p w14:paraId="6B8A70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6092" w:themeColor="accent1" w:themeShade="BF"/>
          <w:sz w:val="16"/>
          <w:szCs w:val="16"/>
          <w:highlight w:val="yellow"/>
        </w:rPr>
      </w:pPr>
    </w:p>
    <w:p w14:paraId="5365C3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4.6. Отчет о бюджетных обязательствах (ф.0503128)</w:t>
      </w:r>
    </w:p>
    <w:p w14:paraId="11A5D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Отчет составлен на основании данных о принятых и исполненных бюджетных обязательствах и представлен по состоянию на 01.01.2025г. Показатели отражены на основании данных об обязательствах, подлежащих исполнению в 2024 году (п.п.68, 69 Инструкции №191н). Отчет заполнен в порядке, приведенном в п.п.70, 71 - 73 Инструкции №191н.</w:t>
      </w:r>
    </w:p>
    <w:p w14:paraId="527770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разделу 1 «Бюджетные обязательства текущего (отчетного) финансового года по расходам»:</w:t>
      </w:r>
    </w:p>
    <w:p w14:paraId="18E23CF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графа 4 в части доведенных бюджетных ассигнований заполнена на основании данных по кредитовому обороту соответствующих счетов аналитического учета счета 0.503.13 «Бюджетные ассигнования получателей бюджетных средств и администраторов выплат по источникам текущего финансового года»;</w:t>
      </w:r>
    </w:p>
    <w:p w14:paraId="52B7258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 графе 5 отражались показатели лимитов бюджетных обязательств, доведенных себе как получателю бюджетных средств за отчетный период с учетом изменений: кредит соответствующих счетов аналитического учета счета 501.13 «Лимиты бюджетных обязательств получателей бюджетных средств текущего финансового года» в корреспонденции с дебетом соответствующих счетов аналитического учета счета 501.15 «Полученные лимиты бюджетных обязательств (на текущий финансовый год)». Нарушений не установлено.</w:t>
      </w:r>
    </w:p>
    <w:p w14:paraId="201028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Показатели граф 4, 5 и 10 разд. 1 и 2 Отчета (ф.0503128) сопоставимы с показателями граф 4, 5 и 9 Отчета (ф.0503127) соответственно (п.73 Инструкции №191н). </w:t>
      </w:r>
    </w:p>
    <w:p w14:paraId="75D0F9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Бюджетные ассигнования по расходам в сумме 241 728 077,29 руб., утвержденные сводной бюджетной росписью от 28.12.2024 г. соответствуют гр. 4, 5 раздела 1 «</w:t>
      </w:r>
      <w:r>
        <w:fldChar w:fldCharType="begin"/>
      </w:r>
      <w:r>
        <w:instrText xml:space="preserve"> HYPERLINK "consultantplus://offline/ref=4D973BE1B9845E6C6757B7A303DB4D29A2999F46B219EB80A89B45DBBAE6BD776605CB2664E1C3F48DD924C9E97291BBF162BF4D5395BDk764J"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Бюджетные обязательства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текущего (отчетного) финансового года по расходам» Отчета (ф.0503128).</w:t>
      </w:r>
    </w:p>
    <w:p w14:paraId="358BF948">
      <w:pPr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п.70.1 Инструкции №191н в целях формирования сводного Отчета (ф.0503128) дополнительно сформирован отчет (ф.0503128 о бюджетных назначениях) в части граф 4 и 5 на суммы нераспределенных бюджетных назначений (бюджетных ассигнований, лимитов бюджетных обязательств). Нарушения не выявлены.</w:t>
      </w:r>
    </w:p>
    <w:p w14:paraId="61E0BB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4.7.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(Баланс (ф.0503130))</w:t>
      </w:r>
    </w:p>
    <w:p w14:paraId="345BE9D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Баланс (ф.0503130) содержит данные о нефинансовых и финансовых активах, обязательствах на первый и последний день отчетного периода по счетам бюджетного учета.</w:t>
      </w:r>
    </w:p>
    <w:p w14:paraId="4F3812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п.13 Инструкции №191н показатели в Балансе (ф.0503130) отражены в 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</w:t>
      </w:r>
    </w:p>
    <w:p w14:paraId="1E84BD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 исполнение п.14-15 Инструкции №191н в Балансе (ф.0503130) в графах «На начало года» показаны данные стоимости активов, обязательств, финансовом результате на начало года, которые соответствуют данным граф «На конец отчетного периода» предыдущего года. В графах «На конец отчетного периода» отражены данные по состоянию на 01.01.2025г. с учетом проведенных при завершении финансового года заключительных оборотов по счетам бюджетного учета.</w:t>
      </w:r>
    </w:p>
    <w:p w14:paraId="2F68E7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строки 700 Баланса (ф.0503130) соответствуют идентичным показателям строки 350.</w:t>
      </w:r>
    </w:p>
    <w:p w14:paraId="024BD1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Данные Баланса (ф.0503130) сопоставимы с показателями сведений о движении нефинансовых активов (ф.0503168) и сведений по дебиторской и кредиторской задолженности (ф.0503169).</w:t>
      </w:r>
    </w:p>
    <w:p w14:paraId="2E4216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составе Баланса (ф.0503130) сформирована справка о наличии имущества и обязательств на забалансовых счетах на начало и конец периода.</w:t>
      </w:r>
    </w:p>
    <w:p w14:paraId="4F9615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проверке контрольных соотношений показателей между формами отчетности, а именно баланса ф.0503130 и ф.0503110, ф.0503121, ф.0503168, ф.0503169 расхождения не установлены.</w:t>
      </w:r>
    </w:p>
    <w:p w14:paraId="59C4C8C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Контрольно-счетной палатой при проверке достоверности данных по нефинансовым активам выявлено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несоответствие кадастровой стоимости земельных участков по данным бухгалтерского учёта и сведений, внесённых в </w:t>
      </w:r>
      <w:r>
        <w:rPr>
          <w:rFonts w:ascii="Times New Roman" w:hAnsi="Times New Roman" w:cs="Times New Roman"/>
          <w:i/>
          <w:iCs/>
          <w:sz w:val="24"/>
          <w:szCs w:val="24"/>
        </w:rPr>
        <w:t>Единый государственный реестр недвижимости об основных характеристиках и зарегистрированных правах на объект недвижимости (далее - выписка ЕГРН):</w:t>
      </w:r>
    </w:p>
    <w:p w14:paraId="637AD3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емельные участки, по которым собственность не разграничена, вовлекаемые органами местного самоуправления в хозяйственный оборот, учитываются на счете 103 13 "Прочие непроизведенные активы недвижимое имущество учреждения" (пп.10, 16 Стандарта "Непроизведенные активы", п. 71 Инструкции №157н, п.16 Инструкции №162н, письмо Минфина России от 23.09.2020 №02-07-10/83379). Согласно данным, предоставленным Администрацией МО «Ахтубинский район» по счёту 103.13 «Непроизведенные активы», учтены земельные участки на общую сумму 629315914,60 руб.</w:t>
      </w:r>
    </w:p>
    <w:p w14:paraId="0952DB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В соответствии с п.36, п.37, п.38 Федерального стандарта «Непроизведенные активы», утверждённого приказом Минфина России от 28.02.2018 №34н, и письмом Минфина России от 29.05.2020г. №02-06-10/45902 переоценка земельных участков производится ежегодно по справедливой (актуальной) стоимости, в качестве которой используется кадастровая стоимость, после внесения изменений в ЕГРН или в результате проведения государственной кадастровой переоценки.</w:t>
      </w:r>
    </w:p>
    <w:p w14:paraId="47437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Проверка проведена выборочно, по состоянию на 01.01.2025г., согласно выписок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ЕГРН от 08.04.2025 г.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выявлено несоответствие кадастровой стоимости земельных участков по данным бухгалтерского учёта и сведений, внесённых в ЕГРН:</w:t>
      </w:r>
    </w:p>
    <w:p w14:paraId="7ABC66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Таблица №5 (руб.)</w:t>
      </w:r>
    </w:p>
    <w:tbl>
      <w:tblPr>
        <w:tblStyle w:val="4"/>
        <w:tblW w:w="10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80"/>
        <w:gridCol w:w="1703"/>
        <w:gridCol w:w="1891"/>
        <w:gridCol w:w="2468"/>
        <w:gridCol w:w="1845"/>
      </w:tblGrid>
      <w:tr w14:paraId="4ED14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5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C22E8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№п/п</w:t>
            </w:r>
          </w:p>
        </w:tc>
        <w:tc>
          <w:tcPr>
            <w:tcW w:w="19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A59EC3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Кадастровый номер земельного участка</w:t>
            </w:r>
          </w:p>
        </w:tc>
        <w:tc>
          <w:tcPr>
            <w:tcW w:w="170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F2367F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Стоимость земельного участка по данным бюджетного учёта на 01.01.2025 г.</w:t>
            </w:r>
          </w:p>
        </w:tc>
        <w:tc>
          <w:tcPr>
            <w:tcW w:w="43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162BCF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Сведения согласно Выписки из ЕГРН о кадастровой стоимости объектов недвижимости</w:t>
            </w:r>
          </w:p>
        </w:tc>
        <w:tc>
          <w:tcPr>
            <w:tcW w:w="18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CDD865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Расхождение (гр.4.-гр.3)</w:t>
            </w:r>
          </w:p>
        </w:tc>
      </w:tr>
      <w:tr w14:paraId="1CEF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  <w:jc w:val="center"/>
        </w:trPr>
        <w:tc>
          <w:tcPr>
            <w:tcW w:w="5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F97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8F7C4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FBAE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45F5B7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кадастровая стоимость земельного участка по состоянию на 01.01.2025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5ED0D7">
            <w:pPr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eastAsia="zh-CN" w:bidi="ar"/>
              </w:rPr>
              <w:t>дата внесения сведений о кадастровой стоимости в ЕГРН</w:t>
            </w:r>
          </w:p>
        </w:tc>
        <w:tc>
          <w:tcPr>
            <w:tcW w:w="18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B473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EC3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FF44E4D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FEBAE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99394B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42116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E69D6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75F61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6</w:t>
            </w:r>
          </w:p>
        </w:tc>
      </w:tr>
      <w:tr w14:paraId="3E1E8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64DA740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BB1BA7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30:01:070101:172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D28E5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1293 909,43 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9BA375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1285 064,89 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FE7B9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19.12.2023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BC7F09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-8844,54</w:t>
            </w:r>
          </w:p>
        </w:tc>
      </w:tr>
      <w:tr w14:paraId="6A81F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7CEF8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1EBDB8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30:01:070101:217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29E471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27542 386,01 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8E7FC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1118 699,37 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901BDD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28.01.2023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6D0F70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-26423686,64</w:t>
            </w:r>
          </w:p>
        </w:tc>
      </w:tr>
      <w:tr w14:paraId="4A6BA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CE02B2C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09C9A6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30:01:070101:221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A0D34A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2058 076,53 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8FCDB4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780 427,61 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E181C5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22.04.2024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3A9073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-1277648,92</w:t>
            </w:r>
          </w:p>
        </w:tc>
      </w:tr>
      <w:tr w14:paraId="1E5F8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9E4CE7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59A7A1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30:01:070101:330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E3615C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277 405,92 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573326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 xml:space="preserve">378 280,80 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1A9365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28.01.2023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8DE3894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100874,88</w:t>
            </w:r>
          </w:p>
        </w:tc>
      </w:tr>
      <w:tr w14:paraId="0639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8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620EB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ИТОГО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073AEB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SimSun" w:cs="Times New Roman"/>
                <w:color w:val="000000"/>
                <w:lang w:val="en-US" w:eastAsia="zh-CN" w:bidi="ar"/>
              </w:rPr>
              <w:t>-27609305,22</w:t>
            </w:r>
          </w:p>
        </w:tc>
      </w:tr>
    </w:tbl>
    <w:p w14:paraId="568541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22E9BDCC">
      <w:pPr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Кадастровая стоимость земельного участка (кадастровый номер №30:01:050402:320) по данным бюджетного учёта на 01.01.2025 г. составляет 112810,00 руб. Согласно выписки ЕГРН от 08.04.2025г. данный земельный участок, расположенный по адресу: Астраханская область, Ахтубинский муниципальный район, сельское поселение Капустиноярский сельсовет, село Капустин Яр, х. Дуюнов, ул. Дуюнова, 9К принадлежит Преснякову Дмитрию Юрьевичу, право собственности зарегистрировано 09.08.2023 г. №30:01:050402:320-30/051/2023-6. Следовательно на балансовом учёте Администрации МО «Ахтубинский район» земельный участок с кадастровым номером №30:01:050402:320 учитываться не должен.</w:t>
      </w:r>
    </w:p>
    <w:p w14:paraId="6FF763AD">
      <w:pPr>
        <w:spacing w:after="0" w:line="240" w:lineRule="auto"/>
        <w:ind w:firstLine="480" w:firstLineChars="20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нарушение ст.13 ФЗ № 402-ФЗ, п.7 Инструкции № 191н, п.71 Инструкции № 157н допущено нарушение требований к бюджетному (бухгалтерскому) учету, повлекшее представление бюджетной отчетности по состоянию на 01.01.2025, содержащей искажение показателей баланса (ф.0503130) в графах «На конец отчетного периода» (графы 6 и 8) по кодам строк:</w:t>
      </w:r>
    </w:p>
    <w:p w14:paraId="55E91FC5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- 070 «Непроизведенные активы (010300000)» отражена стоимость 629315914,60 руб. вместо 601593799,38 руб., сумма расхождений 27722115,22 руб.;</w:t>
      </w:r>
    </w:p>
    <w:p w14:paraId="4B9DDB44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- 190 «Итого по разделу I (стр.030 + стр.060 + стр.070 + стр.080 + стр.100 + стр.120 + стр.130 + стр.140 + стр.150 + стр.160)» отражена стоимость 896670308,21 руб. вместо 868948192,99 руб., сумма расхождений 27722115,22 руб.;</w:t>
      </w:r>
    </w:p>
    <w:p w14:paraId="4C22A8F9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- 350 «БАЛАНС (стр. 190 + стр. 340)» (Актив) отражена стоимость 898823201,02 руб. вместо 871101085,80 руб., сумма расхождений 27722115,22 руб.;</w:t>
      </w:r>
    </w:p>
    <w:p w14:paraId="7388377D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- 570 «Финансовый результат экономического субъекта» отражена стоимость 895187321,72 руб. вместо 867465206,50 руб., сумма расхождений 27722115,22 руб.;</w:t>
      </w:r>
    </w:p>
    <w:p w14:paraId="269E2704">
      <w:pPr>
        <w:spacing w:after="72" w:afterLines="3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- 700 «БАЛАНС (стр. 550 + стр. 570» (Пассив) отражена стоимость 898823201,02 руб. вместо 871101085,80 руб., сумма расхождений 27722115,22 руб.</w:t>
      </w:r>
    </w:p>
    <w:p w14:paraId="3C78A6DC">
      <w:pPr>
        <w:spacing w:after="0" w:line="240" w:lineRule="auto"/>
        <w:ind w:firstLine="480" w:firstLineChars="20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Искажение показателей по Разделу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«Нефинансовые активы» на общую сумму 27722115,22 руб. (строки 070) бухгалтерской отчетности составило 3,09% (27722115,22 руб./итого по разделу 1 по коду строки 190 «Баланса» 896670308,21 руб.).</w:t>
      </w:r>
    </w:p>
    <w:p w14:paraId="09BA129D"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За нарушение требований к бюджетному (бухгалтерскому) учету, повлекшее представление бюджетной или бухгалтерской (финансовой) отчетности, содержащей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грубое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искажение показателей бюджетной или бухгалтерской (финансовой) отчетности, выразившее в искажении показателей бюджетной или бухгалтерской (финансовой) отчетности, которое привело к искажению информации об активах, и (или) обязательствах, и (или) о финансовом результате по состоянию на 01.01.2025г., не менее чем на 1 процент, но не более чем на 10 процентов и на сумму, превышающую один миллион руб., установлена административная ответственность, предусмотренная ч.4 ст.15.15.6 КоАП РФ.</w:t>
      </w:r>
    </w:p>
    <w:p w14:paraId="06CFBA7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Согласно раздела 3 должностной инструкции начальника отдела бухгалтерского учета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дминистрации МО «Ахтубинский район» начальник обеспечивает организацию бухгалтерского учета и отчетности, своевременное предоставление полной и достоверной бухгалтерской информации о деятельности администрации, ее имущественном положении, доходах и расходах.</w:t>
      </w:r>
    </w:p>
    <w:p w14:paraId="3CA6FB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отношении ответственного лица - начальника отдела бухгалтерского учета Ясинской Н.В. возбуждается производство об административном правонарушении, предусмотренном частью 4 ст. 15.15.6 КоАП РФ.</w:t>
      </w:r>
    </w:p>
    <w:p w14:paraId="468A9443">
      <w:pPr>
        <w:spacing w:after="0" w:line="240" w:lineRule="auto"/>
        <w:ind w:firstLine="567"/>
        <w:jc w:val="both"/>
        <w:rPr>
          <w:rFonts w:ascii="Times New Roman" w:hAnsi="Times New Roman"/>
          <w:color w:val="376092" w:themeColor="accent1" w:themeShade="BF"/>
          <w:sz w:val="24"/>
          <w:szCs w:val="24"/>
        </w:rPr>
      </w:pPr>
    </w:p>
    <w:p w14:paraId="386F00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4.8. Пояснительная записка (ф.0503160)</w:t>
      </w:r>
    </w:p>
    <w:p w14:paraId="0B8F7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п.152 Инструкции №191н Пояснительная записка составлена в разрезе следующих разделов:</w:t>
      </w:r>
    </w:p>
    <w:p w14:paraId="1C16F6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1 «Организационная структура субъекта бюджетной отчетности» содержит:</w:t>
      </w:r>
    </w:p>
    <w:p w14:paraId="34D3C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наличии 1 подведомственного учреждения: МКУ «УХТО» и ведении бухгалтерского учёта в соответствии с соглашением от 04.02.2021г. №29.</w:t>
      </w:r>
    </w:p>
    <w:p w14:paraId="6A439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 об открытых счетах в органе казначейства. </w:t>
      </w:r>
    </w:p>
    <w:p w14:paraId="4FB09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количестве унитарных предприятий (3 шт.)</w:t>
      </w:r>
    </w:p>
    <w:p w14:paraId="2854E0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"https://login.consultant.ru/link/?req=doc&amp;base=LAW&amp;n=467434&amp;dst=26189" </w:instrText>
      </w:r>
      <w:r>
        <w:fldChar w:fldCharType="separate"/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об организационной структуре субъекта бюджетной отчетности (Таблица №11) предоставлена согласно п. 159.4 Инструкции № 191н.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Нарушения при заполнении таблицы не выявлены.</w:t>
      </w:r>
    </w:p>
    <w:p w14:paraId="4A00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2 «Результаты деятельности субъекта бюджетной отчетности»:</w:t>
      </w:r>
    </w:p>
    <w:p w14:paraId="2365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 о результатах деятельности субъекта бюджетной отчетности (Таблица №12)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предоставлена согласно п.159.5 Инструкции №191н.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Нарушения при заполнении таблицы не выявлены.</w:t>
      </w:r>
    </w:p>
    <w:p w14:paraId="179AE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Представлена информация о техническом состоянии имущества и эффективности его использования.</w:t>
      </w:r>
    </w:p>
    <w:p w14:paraId="1A6CD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3 «Анализ отчета об исполнении бюджета субъектом бюджетной отчетности» содержит:</w:t>
      </w:r>
    </w:p>
    <w:p w14:paraId="37B2352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Сведения об исполнении бюджета (ф.0503164) составлены на основе показателей отчета об исполнении бюджета (ф.0503127), процент исполнения по доходам составил – 105,17%, по расходам - 94,29%. </w:t>
      </w:r>
    </w:p>
    <w:p w14:paraId="621AF2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Анализ отчета об исполнении бюджета субъектом бюджетной отчетности (Таблица №13)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представлен ГРБС в соответствие с п.159.6 Инструкции №191н. Содержит аналитическую информацию об исполнении бюджета в соответствии с показателями и причинами отклонений неисполненных назначений.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Нарушения при заполнении таблицы не выявлены.</w:t>
      </w:r>
    </w:p>
    <w:p w14:paraId="5FD169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4 «Анализ показателей бухгалтерской отчетности субъекта бюджетной отчетности»:</w:t>
      </w:r>
    </w:p>
    <w:p w14:paraId="007E6CD5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п.166 Инструкции №191н Сведения о движении нефинансовых активов (ф.0503168) содержит обобщенную информацию за 2024 год о движении нефинансовых активов.</w:t>
      </w:r>
    </w:p>
    <w:p w14:paraId="62762C3E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Стоимость нефинансовых активов по состоянию на 01.01.2024г. и 01.01.2025г. в разрезе счетов бюджетного учета составила:</w:t>
      </w:r>
    </w:p>
    <w:p w14:paraId="54A4C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101.00 «Основные средства» - 63276618,10 руб. и 63800693,10 руб., что соответствует данным стр.010 Баланса (ф.0503130);</w:t>
      </w:r>
    </w:p>
    <w:p w14:paraId="3B45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103.00 «Земля» - 629315914,60 руб. и 629315914,60 руб., что соответствует данным стр.070 Баланса (ф.0503130).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ходе проверки выявлено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несоответствие кадастровой стоимости земельных участков по данным бухгалтерского учёта и сведений, внесённых в ЕГРН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6FD6C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104.00 «Амортизация» - 39409786,48 руб. и 42581904,70 руб., что соответствует данным стр.021 Баланса (ф.0503130);</w:t>
      </w:r>
    </w:p>
    <w:p w14:paraId="05DD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105.00 «Материальные запасы» - 7448801,72 руб. и 7610128,80 руб., что соответствует данным стр.080 Баланса (ф.0503130);</w:t>
      </w:r>
    </w:p>
    <w:p w14:paraId="21C6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111.60 «Права пользования нематериальными активами» - 45800,00 руб. и 45800,00 руб., что соответствует данным стр.100 Баланса (ф.0503130);</w:t>
      </w:r>
    </w:p>
    <w:p w14:paraId="5649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106.00 «Вложения в нефинансовые активы» - 4126752,66 руб. и 5595524,16 руб., что соответствует данным стр. 120 Баланса (ф.0503130);</w:t>
      </w:r>
    </w:p>
    <w:p w14:paraId="12FCF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108.00 «Нефинансовые активы имущества казаны» - 225055956,96 руб. и 232833355,48 руб.</w:t>
      </w:r>
    </w:p>
    <w:p w14:paraId="1BD6C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Отчета (ф.0503168) в графе 4 «Наличие на начало года» и графе 11 «Наличие на конец года» соответствуют данным Баланса (ф.0503130).</w:t>
      </w:r>
    </w:p>
    <w:p w14:paraId="5BC3A906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376092" w:themeColor="accent1" w:themeShade="BF"/>
          <w:sz w:val="12"/>
          <w:szCs w:val="12"/>
          <w:highlight w:val="yellow"/>
        </w:rPr>
      </w:pPr>
    </w:p>
    <w:p w14:paraId="65833177">
      <w:pPr>
        <w:pStyle w:val="1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п.167 Инструкции №191н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по дебиторской и кредиторской задолженности (ф.0503169)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</w:t>
      </w:r>
    </w:p>
    <w:p w14:paraId="318A8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Дебиторская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доходам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01.01.2025г. (сч.0.205.00, 0.209.00) составила 1084586,84 руб. и соответствуют данным стр.250 Баланса (ф.0503130):</w:t>
      </w:r>
    </w:p>
    <w:p w14:paraId="477ECE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Дебиторская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выплатам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01.01.2025г. (0.206.00, 0.208.00, 0.303.00) составила 33269,54 руб. и соответствуют данным стр.260 Баланса (ф.0503130).</w:t>
      </w:r>
    </w:p>
    <w:p w14:paraId="14DF8C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просроченной дебиторской задолженности отсутствуют.</w:t>
      </w:r>
    </w:p>
    <w:p w14:paraId="123EF893">
      <w:pPr>
        <w:autoSpaceDE w:val="0"/>
        <w:autoSpaceDN w:val="0"/>
        <w:adjustRightInd w:val="0"/>
        <w:spacing w:after="0" w:line="240" w:lineRule="auto"/>
        <w:ind w:firstLine="566" w:firstLineChars="236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Кредиторская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выплатам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на 01.01.2025 г. (сч.0.302.00, 0.208.00, 0.304.02, 0.304.03) составила 2486,40 руб. и соответствуют данным стр.410 Баланса (ф.0503130).</w:t>
      </w:r>
    </w:p>
    <w:p w14:paraId="47649D7F">
      <w:pPr>
        <w:autoSpaceDE w:val="0"/>
        <w:autoSpaceDN w:val="0"/>
        <w:adjustRightInd w:val="0"/>
        <w:spacing w:after="0" w:line="240" w:lineRule="auto"/>
        <w:ind w:firstLine="566" w:firstLineChars="236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Кредиторская задолженность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доходам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(сч.0.205.00, 0.209.00) составляет 32024,49 руб. и соответствует стр. 470 Баланса (ф.0503130).</w:t>
      </w:r>
    </w:p>
    <w:p w14:paraId="4FC97C59">
      <w:pPr>
        <w:autoSpaceDE w:val="0"/>
        <w:autoSpaceDN w:val="0"/>
        <w:adjustRightInd w:val="0"/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просроченной кредиторской задолженности отсутствуют.</w:t>
      </w:r>
    </w:p>
    <w:p w14:paraId="5B094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Доходы будущих периодов сч.401.40.0 - 806 227,85 руб. и соответствуют данным стр.510 Баланса (ф.0503130).</w:t>
      </w:r>
    </w:p>
    <w:p w14:paraId="2389A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Резерв предстоящих расходов сч.401.60 - 2 000 040,63 руб. и соответствуют данным стр.520 Баланса (ф.0503130).</w:t>
      </w:r>
    </w:p>
    <w:p w14:paraId="7CB977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p w14:paraId="1C4BEABC">
      <w:pPr>
        <w:autoSpaceDE w:val="0"/>
        <w:autoSpaceDN w:val="0"/>
        <w:adjustRightInd w:val="0"/>
        <w:spacing w:after="120" w:afterLines="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 финансовых вложениях получателя бюджетных средств, администратора источников финансирования дефицита бюджета (ф.0503171) в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соответствии с п.168 Инструкции №191н содержит обобщенные за 2024 год данные о финансовых вложениях в финансовые активы субъекта бюджетной отчетности – 200 000,00 руб. (уставный фонд МУП «Дирекция ЖКХ МО «Ахтубинский район», МУП ЖКХ «Универсал»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(п.192, 194 Инструкции №157н, п.73 Инструкции №162н)).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гр.2 сопоставимы с данными главной книги по сч.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204.32 «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Участие в государственных (муниципальных) предприятиях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».</w:t>
      </w:r>
    </w:p>
    <w:p w14:paraId="5607C0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240" w:lineRule="auto"/>
        <w:ind w:firstLine="53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соответствии с п.170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Сведения об изменении остатков валюты баланса (ф.0503173) содержат обобщенные за 2024 год данные об изменении показателей на начало отчетного периода вступительного баланса ГРБС и баланса исполнения бюджета.</w:t>
      </w:r>
    </w:p>
    <w:p w14:paraId="67344EF1">
      <w:pPr>
        <w:autoSpaceDE w:val="0"/>
        <w:autoSpaceDN w:val="0"/>
        <w:adjustRightInd w:val="0"/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п.170.2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Сведения о принятых и неисполненных обязательствах получателя бюджетных средств (ф.0503175)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содержат аналитические данные о неисполненных бюджетных обязательствах (3400320,88 руб.), неисполненных денежных обязательствах (2486,40 руб.). Показатели, отраженные в ф.0503175, соответствуют данным Отчета (ф.0503128).</w:t>
      </w:r>
    </w:p>
    <w:p w14:paraId="37A983C9">
      <w:pPr>
        <w:autoSpaceDE w:val="0"/>
        <w:autoSpaceDN w:val="0"/>
        <w:adjustRightInd w:val="0"/>
        <w:spacing w:after="72" w:afterLines="3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п.173 Инструкции №191н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Сведения об остатках денежных средств на счетах получателя бюджетных средств (ф.0503178)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содержат сведения 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 остатках денежных средств на счетах получателя бюджетных средств (795099,93руб.). П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оказатели, отраженные в ф.0503178, соответствуют данным стр. 201 Баланса (ф.0503130).</w:t>
      </w:r>
    </w:p>
    <w:p w14:paraId="1FDC2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Раздел 5 «Прочие вопросы деятельности субъекта бюджетной отчетности» содержит:</w:t>
      </w:r>
    </w:p>
    <w:p w14:paraId="66248EE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основных положениях учетной политики (Таблица №4) в соответствии с п.156 Инструкции №191н характеризу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ю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особенностей. Нарушения при заполнении таблицы не выявлены.</w:t>
      </w:r>
    </w:p>
    <w:p w14:paraId="42F9DC2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Сведения об исполнении судебных решений по денежным обязательствам бюджета (ф.0503296) - в соответствии с п.174 Инструкции №191н по строке 010 Сведений (ф.0503296) отражаются суммы по судебным решениям судов судебной системы Российской Федерации. В течение 2024 года было принято и исполнено по исполнительным документам денежных обязательств на общую сумму 6160303,72 руб.</w:t>
      </w:r>
    </w:p>
    <w:p w14:paraId="25E20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Представлена таблица №16 «Прочие вопросы деятельности субъекта бюджетной отчетности» в соответствии с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п.159.9 Инструкции №191н,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отражающая перечень форм отчетности, не включенных в состав бюджетной отчетности за отчетный период ввиду отсутствия числовых значений показателей: ф.0603166, ф.0503167, ф.0503172, ф.0503174, таблица №1, №3, №6, №14, №15.</w:t>
      </w:r>
    </w:p>
    <w:p w14:paraId="026BDA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Вывод</w:t>
      </w:r>
    </w:p>
    <w:p w14:paraId="44E74D46">
      <w:pPr>
        <w:pStyle w:val="15"/>
        <w:numPr>
          <w:ilvl w:val="0"/>
          <w:numId w:val="4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Оценка полноты и достоверности бюджетной отчетности во всех существенных отношениях проводилась на выборочной основе. Бюджетная отчетность за 2024 год представлена в срок, соответствует структуре и бюджетной классификации.</w:t>
      </w:r>
    </w:p>
    <w:p w14:paraId="6D25A6DD">
      <w:pPr>
        <w:pStyle w:val="15"/>
        <w:numPr>
          <w:ilvl w:val="0"/>
          <w:numId w:val="4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нарушение ст.13 ФЗ №402-ФЗ, п.7 Инструкции №191н, п.71 Инструкции №157н допущено нарушение требований к бюджетному (бухгалтерскому) учету, повлекшее искажение показателей по Разделу I «Нефинансовые активы» Баланса (ф.0503130) на общую сумму 27722115,22 руб. или 3,09%.</w:t>
      </w:r>
    </w:p>
    <w:p w14:paraId="5C7D8CE4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отношении ответственного лица - начальника отдела бухгалтерского учета Ясинской Н.В. возбуждается производство об административном правонарушении, предусмотренном ч.4 ст.15.15.6 КоАП РФ.</w:t>
      </w:r>
    </w:p>
    <w:p w14:paraId="4505AA38">
      <w:pPr>
        <w:pStyle w:val="15"/>
        <w:numPr>
          <w:ilvl w:val="0"/>
          <w:numId w:val="4"/>
        </w:numPr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Нарушений и недостатков, существенно оказавших влияние на полноту отражения показателей отчетности и на достоверность показателей представленной отчетности за 2024 год, не выявлено.</w:t>
      </w:r>
    </w:p>
    <w:p w14:paraId="396E8A32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DA981AE">
      <w:pPr>
        <w:pStyle w:val="15"/>
        <w:tabs>
          <w:tab w:val="center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Рекомендации:</w:t>
      </w:r>
    </w:p>
    <w:p w14:paraId="4D8B90BF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Усилить контроль за ежегодной переоценкой кадастровой стоимости земельных участков и отражением операций на счетах бухгалтерского учёта.</w:t>
      </w:r>
    </w:p>
    <w:p w14:paraId="61BF8C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CAA2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A0130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C0A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Председатель</w:t>
      </w:r>
    </w:p>
    <w:p w14:paraId="69EA26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КСП МО «Ахтубинский район»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Журавлева Ю.Ю.</w:t>
      </w:r>
    </w:p>
    <w:p w14:paraId="3841DA1C">
      <w:pPr>
        <w:spacing w:after="0"/>
        <w:jc w:val="both"/>
        <w:rPr>
          <w:rFonts w:ascii="Times New Roman" w:hAnsi="Times New Roman" w:eastAsia="Times New Roman" w:cs="Times New Roman"/>
          <w:b/>
          <w:color w:val="376092" w:themeColor="accent1" w:themeShade="BF"/>
          <w:sz w:val="24"/>
          <w:szCs w:val="24"/>
          <w:lang w:eastAsia="ru-RU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850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5632">
    <w:pPr>
      <w:pStyle w:val="9"/>
      <w:pBdr>
        <w:top w:val="thinThickSmallGap" w:color="622423" w:themeColor="accent2" w:themeShade="7F" w:sz="24" w:space="1"/>
      </w:pBd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</w:rPr>
      <w:t>Заключение Контрольно-счетной палаты МО «Ахтубинский район»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Страница </w:t>
    </w:r>
    <w:r>
      <w:rPr>
        <w:rFonts w:eastAsiaTheme="minorEastAsia"/>
      </w:rPr>
      <w:fldChar w:fldCharType="begin"/>
    </w:r>
    <w:r>
      <w:instrText xml:space="preserve">PAGE   \* MERGEFORMAT</w:instrText>
    </w:r>
    <w:r>
      <w:rPr>
        <w:rFonts w:eastAsiaTheme="minorEastAsia"/>
      </w:rPr>
      <w:fldChar w:fldCharType="separate"/>
    </w:r>
    <w:r>
      <w:rPr>
        <w:rFonts w:asciiTheme="majorHAnsi" w:hAnsiTheme="majorHAnsi" w:eastAsiaTheme="majorEastAsia" w:cstheme="majorBidi"/>
      </w:rPr>
      <w:t>12</w:t>
    </w:r>
    <w:r>
      <w:rPr>
        <w:rFonts w:asciiTheme="majorHAnsi" w:hAnsiTheme="majorHAnsi" w:eastAsiaTheme="majorEastAsia" w:cstheme="majorBidi"/>
      </w:rPr>
      <w:fldChar w:fldCharType="end"/>
    </w:r>
  </w:p>
  <w:p w14:paraId="26EB821B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40F0C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26E7B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078C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EF5E4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D1A63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10F6E"/>
    <w:multiLevelType w:val="singleLevel"/>
    <w:tmpl w:val="83010F6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32FFFB"/>
    <w:multiLevelType w:val="singleLevel"/>
    <w:tmpl w:val="3332FFFB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46BF50F5"/>
    <w:multiLevelType w:val="multilevel"/>
    <w:tmpl w:val="46BF50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1717"/>
    <w:multiLevelType w:val="multilevel"/>
    <w:tmpl w:val="4D5C1717"/>
    <w:lvl w:ilvl="0" w:tentative="0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55" w:hanging="360"/>
      </w:pPr>
      <w:rPr>
        <w:rFonts w:hint="default" w:ascii="Wingdings" w:hAnsi="Wingdings"/>
      </w:rPr>
    </w:lvl>
  </w:abstractNum>
  <w:abstractNum w:abstractNumId="4">
    <w:nsid w:val="5E3948EE"/>
    <w:multiLevelType w:val="singleLevel"/>
    <w:tmpl w:val="5E3948EE"/>
    <w:lvl w:ilvl="0" w:tentative="0">
      <w:start w:val="1"/>
      <w:numFmt w:val="decimal"/>
      <w:suff w:val="space"/>
      <w:lvlText w:val="%1."/>
      <w:lvlJc w:val="left"/>
      <w:pPr>
        <w:ind w:left="-127"/>
      </w:pPr>
      <w:rPr>
        <w:rFonts w:hint="default"/>
        <w:b w:val="0"/>
        <w:bCs w:val="0"/>
        <w:i w:val="0"/>
        <w:iCs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39"/>
    <w:rsid w:val="000054EF"/>
    <w:rsid w:val="000059A2"/>
    <w:rsid w:val="000116D0"/>
    <w:rsid w:val="00014136"/>
    <w:rsid w:val="000142F5"/>
    <w:rsid w:val="00014FD6"/>
    <w:rsid w:val="00020CB0"/>
    <w:rsid w:val="00020FF9"/>
    <w:rsid w:val="00024D20"/>
    <w:rsid w:val="00025F3A"/>
    <w:rsid w:val="000321D0"/>
    <w:rsid w:val="00033E40"/>
    <w:rsid w:val="00037C01"/>
    <w:rsid w:val="000415A4"/>
    <w:rsid w:val="0005062E"/>
    <w:rsid w:val="0005072A"/>
    <w:rsid w:val="00052682"/>
    <w:rsid w:val="00054738"/>
    <w:rsid w:val="00062F8D"/>
    <w:rsid w:val="00067F00"/>
    <w:rsid w:val="00070613"/>
    <w:rsid w:val="0007064A"/>
    <w:rsid w:val="00072288"/>
    <w:rsid w:val="00075D18"/>
    <w:rsid w:val="00082627"/>
    <w:rsid w:val="000906F8"/>
    <w:rsid w:val="0009320E"/>
    <w:rsid w:val="000934D1"/>
    <w:rsid w:val="00094F87"/>
    <w:rsid w:val="000A4CA4"/>
    <w:rsid w:val="000A5F09"/>
    <w:rsid w:val="000B4D80"/>
    <w:rsid w:val="000B52B2"/>
    <w:rsid w:val="000B6852"/>
    <w:rsid w:val="000C0053"/>
    <w:rsid w:val="000C56AC"/>
    <w:rsid w:val="000D111D"/>
    <w:rsid w:val="000D1EC7"/>
    <w:rsid w:val="000D4062"/>
    <w:rsid w:val="000D69B2"/>
    <w:rsid w:val="000D786A"/>
    <w:rsid w:val="000E6906"/>
    <w:rsid w:val="000F1023"/>
    <w:rsid w:val="000F7EBD"/>
    <w:rsid w:val="001001A2"/>
    <w:rsid w:val="00100E52"/>
    <w:rsid w:val="00106231"/>
    <w:rsid w:val="0011015C"/>
    <w:rsid w:val="00112D6E"/>
    <w:rsid w:val="0011459F"/>
    <w:rsid w:val="00115244"/>
    <w:rsid w:val="0012038B"/>
    <w:rsid w:val="00122603"/>
    <w:rsid w:val="0012564A"/>
    <w:rsid w:val="001410B4"/>
    <w:rsid w:val="00141494"/>
    <w:rsid w:val="00147A26"/>
    <w:rsid w:val="001505A7"/>
    <w:rsid w:val="001510EC"/>
    <w:rsid w:val="001537E7"/>
    <w:rsid w:val="001566B9"/>
    <w:rsid w:val="001620E5"/>
    <w:rsid w:val="001624A8"/>
    <w:rsid w:val="00165A07"/>
    <w:rsid w:val="00167870"/>
    <w:rsid w:val="0017202F"/>
    <w:rsid w:val="00172A27"/>
    <w:rsid w:val="001779F2"/>
    <w:rsid w:val="00180229"/>
    <w:rsid w:val="00184171"/>
    <w:rsid w:val="00185F28"/>
    <w:rsid w:val="001868B6"/>
    <w:rsid w:val="0019368A"/>
    <w:rsid w:val="001A2D9E"/>
    <w:rsid w:val="001A3703"/>
    <w:rsid w:val="001A38A4"/>
    <w:rsid w:val="001A731D"/>
    <w:rsid w:val="001A7AE5"/>
    <w:rsid w:val="001B0400"/>
    <w:rsid w:val="001B3612"/>
    <w:rsid w:val="001B48BD"/>
    <w:rsid w:val="001B7FC3"/>
    <w:rsid w:val="001C3C1C"/>
    <w:rsid w:val="001C48B4"/>
    <w:rsid w:val="001C7F35"/>
    <w:rsid w:val="001D0775"/>
    <w:rsid w:val="001D0F5C"/>
    <w:rsid w:val="001D40B5"/>
    <w:rsid w:val="001D4FB6"/>
    <w:rsid w:val="001D6111"/>
    <w:rsid w:val="001E1E0A"/>
    <w:rsid w:val="001E76B5"/>
    <w:rsid w:val="001E7933"/>
    <w:rsid w:val="001F5DFD"/>
    <w:rsid w:val="001F6149"/>
    <w:rsid w:val="00203469"/>
    <w:rsid w:val="00205EDC"/>
    <w:rsid w:val="00210E4A"/>
    <w:rsid w:val="002120DE"/>
    <w:rsid w:val="00216A52"/>
    <w:rsid w:val="0022098C"/>
    <w:rsid w:val="00224992"/>
    <w:rsid w:val="00224AFE"/>
    <w:rsid w:val="002304B9"/>
    <w:rsid w:val="002307F6"/>
    <w:rsid w:val="002313D8"/>
    <w:rsid w:val="0023161E"/>
    <w:rsid w:val="00236C1D"/>
    <w:rsid w:val="00240B0D"/>
    <w:rsid w:val="0024170A"/>
    <w:rsid w:val="00241C20"/>
    <w:rsid w:val="00246CCE"/>
    <w:rsid w:val="00247B6E"/>
    <w:rsid w:val="00247EE1"/>
    <w:rsid w:val="002516D1"/>
    <w:rsid w:val="0025296E"/>
    <w:rsid w:val="002534C4"/>
    <w:rsid w:val="002538A5"/>
    <w:rsid w:val="002538AB"/>
    <w:rsid w:val="00253E2B"/>
    <w:rsid w:val="00257DB6"/>
    <w:rsid w:val="002631A4"/>
    <w:rsid w:val="00264B14"/>
    <w:rsid w:val="00265C9A"/>
    <w:rsid w:val="00266C79"/>
    <w:rsid w:val="002670DF"/>
    <w:rsid w:val="00271123"/>
    <w:rsid w:val="00274153"/>
    <w:rsid w:val="00274DA3"/>
    <w:rsid w:val="00282921"/>
    <w:rsid w:val="00285210"/>
    <w:rsid w:val="00293014"/>
    <w:rsid w:val="0029324A"/>
    <w:rsid w:val="00293BFC"/>
    <w:rsid w:val="0029493D"/>
    <w:rsid w:val="00295136"/>
    <w:rsid w:val="00295DCA"/>
    <w:rsid w:val="00297536"/>
    <w:rsid w:val="002A62E6"/>
    <w:rsid w:val="002B1124"/>
    <w:rsid w:val="002B36E5"/>
    <w:rsid w:val="002B443B"/>
    <w:rsid w:val="002B4A5F"/>
    <w:rsid w:val="002C03DC"/>
    <w:rsid w:val="002C40BD"/>
    <w:rsid w:val="002C5F39"/>
    <w:rsid w:val="002C7A35"/>
    <w:rsid w:val="002E5F24"/>
    <w:rsid w:val="002F04BE"/>
    <w:rsid w:val="002F3081"/>
    <w:rsid w:val="002F370A"/>
    <w:rsid w:val="002F7593"/>
    <w:rsid w:val="00300CA5"/>
    <w:rsid w:val="003044BE"/>
    <w:rsid w:val="00304535"/>
    <w:rsid w:val="00321957"/>
    <w:rsid w:val="0032380F"/>
    <w:rsid w:val="00323D6E"/>
    <w:rsid w:val="0032733B"/>
    <w:rsid w:val="00330C60"/>
    <w:rsid w:val="00336843"/>
    <w:rsid w:val="003374AD"/>
    <w:rsid w:val="00337B01"/>
    <w:rsid w:val="00341600"/>
    <w:rsid w:val="00344F9E"/>
    <w:rsid w:val="00346883"/>
    <w:rsid w:val="00353679"/>
    <w:rsid w:val="00354C3F"/>
    <w:rsid w:val="00363DE3"/>
    <w:rsid w:val="003766FD"/>
    <w:rsid w:val="0037759E"/>
    <w:rsid w:val="00380756"/>
    <w:rsid w:val="00381051"/>
    <w:rsid w:val="003813C3"/>
    <w:rsid w:val="00383BB5"/>
    <w:rsid w:val="00384B6C"/>
    <w:rsid w:val="00387627"/>
    <w:rsid w:val="00390834"/>
    <w:rsid w:val="0039451C"/>
    <w:rsid w:val="00397652"/>
    <w:rsid w:val="003A0323"/>
    <w:rsid w:val="003A56DC"/>
    <w:rsid w:val="003B662D"/>
    <w:rsid w:val="003B6982"/>
    <w:rsid w:val="003B6B27"/>
    <w:rsid w:val="003C230A"/>
    <w:rsid w:val="003D78F3"/>
    <w:rsid w:val="003E2A84"/>
    <w:rsid w:val="003E3728"/>
    <w:rsid w:val="003E4A34"/>
    <w:rsid w:val="003F3F90"/>
    <w:rsid w:val="003F665B"/>
    <w:rsid w:val="00400199"/>
    <w:rsid w:val="00402B76"/>
    <w:rsid w:val="0040570E"/>
    <w:rsid w:val="0040731E"/>
    <w:rsid w:val="004101B7"/>
    <w:rsid w:val="00410912"/>
    <w:rsid w:val="00410BE9"/>
    <w:rsid w:val="0041165F"/>
    <w:rsid w:val="00415D03"/>
    <w:rsid w:val="0041720A"/>
    <w:rsid w:val="00422F61"/>
    <w:rsid w:val="00424B06"/>
    <w:rsid w:val="00431141"/>
    <w:rsid w:val="004324DD"/>
    <w:rsid w:val="00432880"/>
    <w:rsid w:val="00433EF3"/>
    <w:rsid w:val="00434782"/>
    <w:rsid w:val="00436A16"/>
    <w:rsid w:val="00442CFF"/>
    <w:rsid w:val="00443B26"/>
    <w:rsid w:val="00443BF6"/>
    <w:rsid w:val="00444D58"/>
    <w:rsid w:val="004514F4"/>
    <w:rsid w:val="00457CE1"/>
    <w:rsid w:val="00462EEB"/>
    <w:rsid w:val="00480016"/>
    <w:rsid w:val="0048141D"/>
    <w:rsid w:val="00483031"/>
    <w:rsid w:val="00486CB4"/>
    <w:rsid w:val="004871C9"/>
    <w:rsid w:val="00487EE7"/>
    <w:rsid w:val="0049277A"/>
    <w:rsid w:val="00495F46"/>
    <w:rsid w:val="00495FF6"/>
    <w:rsid w:val="004A2B52"/>
    <w:rsid w:val="004A2E77"/>
    <w:rsid w:val="004A5403"/>
    <w:rsid w:val="004C20A3"/>
    <w:rsid w:val="004C2FD9"/>
    <w:rsid w:val="004D05A1"/>
    <w:rsid w:val="004D0EF4"/>
    <w:rsid w:val="004D531D"/>
    <w:rsid w:val="004D6705"/>
    <w:rsid w:val="004D6DC6"/>
    <w:rsid w:val="004D6FA7"/>
    <w:rsid w:val="004D7F62"/>
    <w:rsid w:val="004E2231"/>
    <w:rsid w:val="004E2FE3"/>
    <w:rsid w:val="004E3577"/>
    <w:rsid w:val="004E493A"/>
    <w:rsid w:val="004F2A0C"/>
    <w:rsid w:val="004F4BF5"/>
    <w:rsid w:val="00501BD1"/>
    <w:rsid w:val="00504068"/>
    <w:rsid w:val="00504D88"/>
    <w:rsid w:val="005065B5"/>
    <w:rsid w:val="00506B6F"/>
    <w:rsid w:val="00510739"/>
    <w:rsid w:val="0051120F"/>
    <w:rsid w:val="00511328"/>
    <w:rsid w:val="005141D8"/>
    <w:rsid w:val="00516400"/>
    <w:rsid w:val="005211F0"/>
    <w:rsid w:val="005324E7"/>
    <w:rsid w:val="00536299"/>
    <w:rsid w:val="00543F73"/>
    <w:rsid w:val="005503E8"/>
    <w:rsid w:val="005548B7"/>
    <w:rsid w:val="00555899"/>
    <w:rsid w:val="0055743E"/>
    <w:rsid w:val="0056264C"/>
    <w:rsid w:val="00565E40"/>
    <w:rsid w:val="005777EF"/>
    <w:rsid w:val="005812B1"/>
    <w:rsid w:val="00584F6B"/>
    <w:rsid w:val="00587FEF"/>
    <w:rsid w:val="005A1674"/>
    <w:rsid w:val="005A2430"/>
    <w:rsid w:val="005A2BD0"/>
    <w:rsid w:val="005B1502"/>
    <w:rsid w:val="005B298C"/>
    <w:rsid w:val="005B430B"/>
    <w:rsid w:val="005B7480"/>
    <w:rsid w:val="005C1C18"/>
    <w:rsid w:val="005C1C8C"/>
    <w:rsid w:val="005C3CE9"/>
    <w:rsid w:val="005C43A3"/>
    <w:rsid w:val="005C4F63"/>
    <w:rsid w:val="005C5916"/>
    <w:rsid w:val="005C745A"/>
    <w:rsid w:val="005D1D98"/>
    <w:rsid w:val="005D2E48"/>
    <w:rsid w:val="005D348E"/>
    <w:rsid w:val="005D3CEB"/>
    <w:rsid w:val="005D74F1"/>
    <w:rsid w:val="005E4A65"/>
    <w:rsid w:val="005E5342"/>
    <w:rsid w:val="005F4F03"/>
    <w:rsid w:val="005F518A"/>
    <w:rsid w:val="006007CE"/>
    <w:rsid w:val="00602217"/>
    <w:rsid w:val="00603D15"/>
    <w:rsid w:val="0060489A"/>
    <w:rsid w:val="006071E1"/>
    <w:rsid w:val="006075F2"/>
    <w:rsid w:val="006104F4"/>
    <w:rsid w:val="00611D88"/>
    <w:rsid w:val="00612EC4"/>
    <w:rsid w:val="006229B0"/>
    <w:rsid w:val="006270B9"/>
    <w:rsid w:val="006300BA"/>
    <w:rsid w:val="00630741"/>
    <w:rsid w:val="00631398"/>
    <w:rsid w:val="00634259"/>
    <w:rsid w:val="006403A8"/>
    <w:rsid w:val="00641170"/>
    <w:rsid w:val="006412FB"/>
    <w:rsid w:val="00650815"/>
    <w:rsid w:val="006519DF"/>
    <w:rsid w:val="00653409"/>
    <w:rsid w:val="0065374F"/>
    <w:rsid w:val="00653A7C"/>
    <w:rsid w:val="00654B5A"/>
    <w:rsid w:val="00657EEB"/>
    <w:rsid w:val="0066021D"/>
    <w:rsid w:val="00660ABF"/>
    <w:rsid w:val="00662580"/>
    <w:rsid w:val="00663182"/>
    <w:rsid w:val="00664B8A"/>
    <w:rsid w:val="006676BD"/>
    <w:rsid w:val="00670A64"/>
    <w:rsid w:val="00673410"/>
    <w:rsid w:val="00675C8D"/>
    <w:rsid w:val="00683868"/>
    <w:rsid w:val="00685AE8"/>
    <w:rsid w:val="00686BF3"/>
    <w:rsid w:val="0069097E"/>
    <w:rsid w:val="00692A72"/>
    <w:rsid w:val="00692DC6"/>
    <w:rsid w:val="00693BE8"/>
    <w:rsid w:val="00693EC4"/>
    <w:rsid w:val="00694123"/>
    <w:rsid w:val="006A011D"/>
    <w:rsid w:val="006A0A8A"/>
    <w:rsid w:val="006A2E9A"/>
    <w:rsid w:val="006A2EC2"/>
    <w:rsid w:val="006B1E44"/>
    <w:rsid w:val="006B3BB8"/>
    <w:rsid w:val="006B7E5B"/>
    <w:rsid w:val="006C5EF5"/>
    <w:rsid w:val="006C6435"/>
    <w:rsid w:val="006D19ED"/>
    <w:rsid w:val="006D24FF"/>
    <w:rsid w:val="006D32A0"/>
    <w:rsid w:val="006D4E7D"/>
    <w:rsid w:val="006D6910"/>
    <w:rsid w:val="006E18A5"/>
    <w:rsid w:val="006E6A22"/>
    <w:rsid w:val="006E6E5B"/>
    <w:rsid w:val="006E70A4"/>
    <w:rsid w:val="006F120F"/>
    <w:rsid w:val="006F1461"/>
    <w:rsid w:val="006F1907"/>
    <w:rsid w:val="006F4593"/>
    <w:rsid w:val="006F5117"/>
    <w:rsid w:val="006F7BF2"/>
    <w:rsid w:val="00702B22"/>
    <w:rsid w:val="00706852"/>
    <w:rsid w:val="00712605"/>
    <w:rsid w:val="0071529E"/>
    <w:rsid w:val="007167E6"/>
    <w:rsid w:val="00716842"/>
    <w:rsid w:val="007168BA"/>
    <w:rsid w:val="00717565"/>
    <w:rsid w:val="00724E79"/>
    <w:rsid w:val="0073157C"/>
    <w:rsid w:val="00733D86"/>
    <w:rsid w:val="00734375"/>
    <w:rsid w:val="00734DC3"/>
    <w:rsid w:val="00734DC6"/>
    <w:rsid w:val="007351F7"/>
    <w:rsid w:val="00736287"/>
    <w:rsid w:val="007400A0"/>
    <w:rsid w:val="00744C60"/>
    <w:rsid w:val="00747B5D"/>
    <w:rsid w:val="007606D4"/>
    <w:rsid w:val="00762AE6"/>
    <w:rsid w:val="007645D2"/>
    <w:rsid w:val="00765047"/>
    <w:rsid w:val="00765401"/>
    <w:rsid w:val="00766F74"/>
    <w:rsid w:val="00767B00"/>
    <w:rsid w:val="007727C2"/>
    <w:rsid w:val="00772EE1"/>
    <w:rsid w:val="00777E7B"/>
    <w:rsid w:val="007812B3"/>
    <w:rsid w:val="007815DB"/>
    <w:rsid w:val="00781897"/>
    <w:rsid w:val="00782CED"/>
    <w:rsid w:val="00795C89"/>
    <w:rsid w:val="00795DC2"/>
    <w:rsid w:val="00796851"/>
    <w:rsid w:val="0079692A"/>
    <w:rsid w:val="00796FE5"/>
    <w:rsid w:val="007A0EE6"/>
    <w:rsid w:val="007A2860"/>
    <w:rsid w:val="007A36A7"/>
    <w:rsid w:val="007A4CDE"/>
    <w:rsid w:val="007B17F4"/>
    <w:rsid w:val="007D1DE6"/>
    <w:rsid w:val="007D2C06"/>
    <w:rsid w:val="007D5AC0"/>
    <w:rsid w:val="007D5BBD"/>
    <w:rsid w:val="007D6AE9"/>
    <w:rsid w:val="007E02D6"/>
    <w:rsid w:val="007E6DC7"/>
    <w:rsid w:val="007F5CD0"/>
    <w:rsid w:val="007F6E86"/>
    <w:rsid w:val="0080067A"/>
    <w:rsid w:val="00800717"/>
    <w:rsid w:val="008016C9"/>
    <w:rsid w:val="00811748"/>
    <w:rsid w:val="00812E95"/>
    <w:rsid w:val="0082095D"/>
    <w:rsid w:val="00824663"/>
    <w:rsid w:val="0082602A"/>
    <w:rsid w:val="00830D62"/>
    <w:rsid w:val="008315F6"/>
    <w:rsid w:val="00835393"/>
    <w:rsid w:val="00837201"/>
    <w:rsid w:val="00840099"/>
    <w:rsid w:val="008418CD"/>
    <w:rsid w:val="00841EDB"/>
    <w:rsid w:val="0084288B"/>
    <w:rsid w:val="00855637"/>
    <w:rsid w:val="00856CF1"/>
    <w:rsid w:val="00862546"/>
    <w:rsid w:val="00862F66"/>
    <w:rsid w:val="00872DA7"/>
    <w:rsid w:val="008803E6"/>
    <w:rsid w:val="00880A18"/>
    <w:rsid w:val="00882F05"/>
    <w:rsid w:val="00883235"/>
    <w:rsid w:val="00886AB1"/>
    <w:rsid w:val="00886E32"/>
    <w:rsid w:val="00893692"/>
    <w:rsid w:val="008950A6"/>
    <w:rsid w:val="00897511"/>
    <w:rsid w:val="008978D3"/>
    <w:rsid w:val="008A25C5"/>
    <w:rsid w:val="008A36B8"/>
    <w:rsid w:val="008A670F"/>
    <w:rsid w:val="008C438B"/>
    <w:rsid w:val="008C5632"/>
    <w:rsid w:val="008C5856"/>
    <w:rsid w:val="008C77F2"/>
    <w:rsid w:val="008D070F"/>
    <w:rsid w:val="008D0F61"/>
    <w:rsid w:val="008F0DE3"/>
    <w:rsid w:val="008F4209"/>
    <w:rsid w:val="008F5A11"/>
    <w:rsid w:val="008F62B8"/>
    <w:rsid w:val="00900002"/>
    <w:rsid w:val="0090210B"/>
    <w:rsid w:val="00903209"/>
    <w:rsid w:val="00903B17"/>
    <w:rsid w:val="00912C97"/>
    <w:rsid w:val="00915CF5"/>
    <w:rsid w:val="0092186F"/>
    <w:rsid w:val="00924889"/>
    <w:rsid w:val="0092633C"/>
    <w:rsid w:val="0093226A"/>
    <w:rsid w:val="009322A7"/>
    <w:rsid w:val="00933A63"/>
    <w:rsid w:val="00933BA9"/>
    <w:rsid w:val="009340AE"/>
    <w:rsid w:val="009349DF"/>
    <w:rsid w:val="00935A80"/>
    <w:rsid w:val="0094172E"/>
    <w:rsid w:val="00942AE8"/>
    <w:rsid w:val="00944EC2"/>
    <w:rsid w:val="00946F86"/>
    <w:rsid w:val="00947006"/>
    <w:rsid w:val="009509D9"/>
    <w:rsid w:val="00952B74"/>
    <w:rsid w:val="00957B48"/>
    <w:rsid w:val="00964B77"/>
    <w:rsid w:val="00966ED1"/>
    <w:rsid w:val="009739A2"/>
    <w:rsid w:val="00974748"/>
    <w:rsid w:val="00974929"/>
    <w:rsid w:val="00977F9E"/>
    <w:rsid w:val="00981DA8"/>
    <w:rsid w:val="009845D1"/>
    <w:rsid w:val="009870EF"/>
    <w:rsid w:val="009873AB"/>
    <w:rsid w:val="00996733"/>
    <w:rsid w:val="009A0C16"/>
    <w:rsid w:val="009A2834"/>
    <w:rsid w:val="009A4FDB"/>
    <w:rsid w:val="009B04A3"/>
    <w:rsid w:val="009B3B6E"/>
    <w:rsid w:val="009B6A4F"/>
    <w:rsid w:val="009C4882"/>
    <w:rsid w:val="009D200B"/>
    <w:rsid w:val="009D30FB"/>
    <w:rsid w:val="009D545C"/>
    <w:rsid w:val="009D611B"/>
    <w:rsid w:val="009E220D"/>
    <w:rsid w:val="009E6889"/>
    <w:rsid w:val="009E78A7"/>
    <w:rsid w:val="009F6C39"/>
    <w:rsid w:val="00A00360"/>
    <w:rsid w:val="00A021CB"/>
    <w:rsid w:val="00A029AC"/>
    <w:rsid w:val="00A037E4"/>
    <w:rsid w:val="00A05F04"/>
    <w:rsid w:val="00A1074D"/>
    <w:rsid w:val="00A11002"/>
    <w:rsid w:val="00A11FA7"/>
    <w:rsid w:val="00A12015"/>
    <w:rsid w:val="00A1607F"/>
    <w:rsid w:val="00A27CEA"/>
    <w:rsid w:val="00A30CE4"/>
    <w:rsid w:val="00A31634"/>
    <w:rsid w:val="00A32A82"/>
    <w:rsid w:val="00A3464B"/>
    <w:rsid w:val="00A362DB"/>
    <w:rsid w:val="00A36BEF"/>
    <w:rsid w:val="00A36E30"/>
    <w:rsid w:val="00A36EC2"/>
    <w:rsid w:val="00A36FFC"/>
    <w:rsid w:val="00A42E7F"/>
    <w:rsid w:val="00A53108"/>
    <w:rsid w:val="00A533D6"/>
    <w:rsid w:val="00A61898"/>
    <w:rsid w:val="00A63038"/>
    <w:rsid w:val="00A65FE6"/>
    <w:rsid w:val="00A6798B"/>
    <w:rsid w:val="00A72445"/>
    <w:rsid w:val="00A73FC1"/>
    <w:rsid w:val="00A91835"/>
    <w:rsid w:val="00A9484F"/>
    <w:rsid w:val="00AA33E9"/>
    <w:rsid w:val="00AA54C0"/>
    <w:rsid w:val="00AB30AE"/>
    <w:rsid w:val="00AB7FF3"/>
    <w:rsid w:val="00AC2D3B"/>
    <w:rsid w:val="00AC4A6B"/>
    <w:rsid w:val="00AC50CD"/>
    <w:rsid w:val="00AC5B6B"/>
    <w:rsid w:val="00AC5D41"/>
    <w:rsid w:val="00AC64FD"/>
    <w:rsid w:val="00AD056F"/>
    <w:rsid w:val="00AD50BD"/>
    <w:rsid w:val="00AD54D9"/>
    <w:rsid w:val="00AD5DEB"/>
    <w:rsid w:val="00AD6341"/>
    <w:rsid w:val="00AD699D"/>
    <w:rsid w:val="00AD69A9"/>
    <w:rsid w:val="00AE005B"/>
    <w:rsid w:val="00AE14D2"/>
    <w:rsid w:val="00AE515A"/>
    <w:rsid w:val="00AE585D"/>
    <w:rsid w:val="00AE79E9"/>
    <w:rsid w:val="00AE7A75"/>
    <w:rsid w:val="00AF2A53"/>
    <w:rsid w:val="00AF54AD"/>
    <w:rsid w:val="00AF7F12"/>
    <w:rsid w:val="00B00F21"/>
    <w:rsid w:val="00B063A3"/>
    <w:rsid w:val="00B072BF"/>
    <w:rsid w:val="00B20D07"/>
    <w:rsid w:val="00B239DE"/>
    <w:rsid w:val="00B23AA4"/>
    <w:rsid w:val="00B26787"/>
    <w:rsid w:val="00B268FE"/>
    <w:rsid w:val="00B305A7"/>
    <w:rsid w:val="00B35B98"/>
    <w:rsid w:val="00B37A78"/>
    <w:rsid w:val="00B434CD"/>
    <w:rsid w:val="00B45247"/>
    <w:rsid w:val="00B50E9E"/>
    <w:rsid w:val="00B53877"/>
    <w:rsid w:val="00B543C1"/>
    <w:rsid w:val="00B545F5"/>
    <w:rsid w:val="00B56FE8"/>
    <w:rsid w:val="00B60476"/>
    <w:rsid w:val="00B6064D"/>
    <w:rsid w:val="00B718F9"/>
    <w:rsid w:val="00B81CC3"/>
    <w:rsid w:val="00B909CC"/>
    <w:rsid w:val="00B910A2"/>
    <w:rsid w:val="00B925E0"/>
    <w:rsid w:val="00B92CB1"/>
    <w:rsid w:val="00B93562"/>
    <w:rsid w:val="00BA6838"/>
    <w:rsid w:val="00BB0244"/>
    <w:rsid w:val="00BB1E61"/>
    <w:rsid w:val="00BB47E5"/>
    <w:rsid w:val="00BB512C"/>
    <w:rsid w:val="00BC0C29"/>
    <w:rsid w:val="00BC0C5A"/>
    <w:rsid w:val="00BC3B53"/>
    <w:rsid w:val="00BD0C3D"/>
    <w:rsid w:val="00BD0F14"/>
    <w:rsid w:val="00BD127E"/>
    <w:rsid w:val="00BD2529"/>
    <w:rsid w:val="00BD28E3"/>
    <w:rsid w:val="00BD3C90"/>
    <w:rsid w:val="00BD434E"/>
    <w:rsid w:val="00BD4D30"/>
    <w:rsid w:val="00BD7473"/>
    <w:rsid w:val="00BE3597"/>
    <w:rsid w:val="00BE439E"/>
    <w:rsid w:val="00BF6A9A"/>
    <w:rsid w:val="00C018CF"/>
    <w:rsid w:val="00C07245"/>
    <w:rsid w:val="00C1213D"/>
    <w:rsid w:val="00C176F1"/>
    <w:rsid w:val="00C17C83"/>
    <w:rsid w:val="00C201D3"/>
    <w:rsid w:val="00C21E65"/>
    <w:rsid w:val="00C24273"/>
    <w:rsid w:val="00C24CF5"/>
    <w:rsid w:val="00C265ED"/>
    <w:rsid w:val="00C27C15"/>
    <w:rsid w:val="00C31F91"/>
    <w:rsid w:val="00C34E08"/>
    <w:rsid w:val="00C35011"/>
    <w:rsid w:val="00C40ECA"/>
    <w:rsid w:val="00C43A11"/>
    <w:rsid w:val="00C44D3A"/>
    <w:rsid w:val="00C471D2"/>
    <w:rsid w:val="00C47259"/>
    <w:rsid w:val="00C510A3"/>
    <w:rsid w:val="00C54E21"/>
    <w:rsid w:val="00C54FA7"/>
    <w:rsid w:val="00C55A1D"/>
    <w:rsid w:val="00C55AB2"/>
    <w:rsid w:val="00C610B4"/>
    <w:rsid w:val="00C63101"/>
    <w:rsid w:val="00C64F41"/>
    <w:rsid w:val="00C65E67"/>
    <w:rsid w:val="00C66BD6"/>
    <w:rsid w:val="00C71300"/>
    <w:rsid w:val="00C72143"/>
    <w:rsid w:val="00C77756"/>
    <w:rsid w:val="00C8053B"/>
    <w:rsid w:val="00C81891"/>
    <w:rsid w:val="00C866B0"/>
    <w:rsid w:val="00C9618D"/>
    <w:rsid w:val="00C96E6B"/>
    <w:rsid w:val="00CA452E"/>
    <w:rsid w:val="00CA4A56"/>
    <w:rsid w:val="00CB0F39"/>
    <w:rsid w:val="00CB60A9"/>
    <w:rsid w:val="00CC23EF"/>
    <w:rsid w:val="00CC66CA"/>
    <w:rsid w:val="00CD2787"/>
    <w:rsid w:val="00CD409B"/>
    <w:rsid w:val="00CD4A09"/>
    <w:rsid w:val="00CD5083"/>
    <w:rsid w:val="00CE2BCC"/>
    <w:rsid w:val="00CE3794"/>
    <w:rsid w:val="00CE6BBE"/>
    <w:rsid w:val="00CF073F"/>
    <w:rsid w:val="00CF7190"/>
    <w:rsid w:val="00D0345C"/>
    <w:rsid w:val="00D0409D"/>
    <w:rsid w:val="00D11791"/>
    <w:rsid w:val="00D136C0"/>
    <w:rsid w:val="00D25673"/>
    <w:rsid w:val="00D266D8"/>
    <w:rsid w:val="00D331E3"/>
    <w:rsid w:val="00D4076D"/>
    <w:rsid w:val="00D41503"/>
    <w:rsid w:val="00D44B1D"/>
    <w:rsid w:val="00D46B5A"/>
    <w:rsid w:val="00D541E6"/>
    <w:rsid w:val="00D60AB0"/>
    <w:rsid w:val="00D70D1B"/>
    <w:rsid w:val="00D73DD2"/>
    <w:rsid w:val="00D80A18"/>
    <w:rsid w:val="00D84BCF"/>
    <w:rsid w:val="00D86D8B"/>
    <w:rsid w:val="00D8705C"/>
    <w:rsid w:val="00D91F77"/>
    <w:rsid w:val="00D95096"/>
    <w:rsid w:val="00D954E3"/>
    <w:rsid w:val="00D95E67"/>
    <w:rsid w:val="00D977CD"/>
    <w:rsid w:val="00DA6596"/>
    <w:rsid w:val="00DB3B5E"/>
    <w:rsid w:val="00DB7778"/>
    <w:rsid w:val="00DB7AE8"/>
    <w:rsid w:val="00DB7E0D"/>
    <w:rsid w:val="00DC63EF"/>
    <w:rsid w:val="00DC7085"/>
    <w:rsid w:val="00DD0300"/>
    <w:rsid w:val="00DD1F96"/>
    <w:rsid w:val="00DD67A6"/>
    <w:rsid w:val="00DD6CC9"/>
    <w:rsid w:val="00DD6F68"/>
    <w:rsid w:val="00DD7E78"/>
    <w:rsid w:val="00DE0EE8"/>
    <w:rsid w:val="00DE2150"/>
    <w:rsid w:val="00DE24E7"/>
    <w:rsid w:val="00DE2A45"/>
    <w:rsid w:val="00DE4EBA"/>
    <w:rsid w:val="00DE4F81"/>
    <w:rsid w:val="00DE7FA7"/>
    <w:rsid w:val="00DF1228"/>
    <w:rsid w:val="00DF5FEE"/>
    <w:rsid w:val="00E01EA0"/>
    <w:rsid w:val="00E02872"/>
    <w:rsid w:val="00E122CD"/>
    <w:rsid w:val="00E13DD6"/>
    <w:rsid w:val="00E172DC"/>
    <w:rsid w:val="00E20ED8"/>
    <w:rsid w:val="00E253FD"/>
    <w:rsid w:val="00E27766"/>
    <w:rsid w:val="00E27E75"/>
    <w:rsid w:val="00E34667"/>
    <w:rsid w:val="00E34E05"/>
    <w:rsid w:val="00E3590F"/>
    <w:rsid w:val="00E365AB"/>
    <w:rsid w:val="00E54E1C"/>
    <w:rsid w:val="00E6028D"/>
    <w:rsid w:val="00E6095B"/>
    <w:rsid w:val="00E60CF8"/>
    <w:rsid w:val="00E70476"/>
    <w:rsid w:val="00E7589C"/>
    <w:rsid w:val="00E7792B"/>
    <w:rsid w:val="00E83169"/>
    <w:rsid w:val="00E84A0D"/>
    <w:rsid w:val="00E84F41"/>
    <w:rsid w:val="00E85272"/>
    <w:rsid w:val="00E85354"/>
    <w:rsid w:val="00E8680C"/>
    <w:rsid w:val="00E90D80"/>
    <w:rsid w:val="00E90E75"/>
    <w:rsid w:val="00E97E94"/>
    <w:rsid w:val="00EA2E1D"/>
    <w:rsid w:val="00EA557C"/>
    <w:rsid w:val="00EA7F98"/>
    <w:rsid w:val="00EB7A13"/>
    <w:rsid w:val="00EC3615"/>
    <w:rsid w:val="00EC5167"/>
    <w:rsid w:val="00EC5D48"/>
    <w:rsid w:val="00EC7696"/>
    <w:rsid w:val="00ED02FD"/>
    <w:rsid w:val="00ED0E98"/>
    <w:rsid w:val="00ED4061"/>
    <w:rsid w:val="00ED5437"/>
    <w:rsid w:val="00EE050F"/>
    <w:rsid w:val="00EE05C0"/>
    <w:rsid w:val="00EE116E"/>
    <w:rsid w:val="00EE7040"/>
    <w:rsid w:val="00EF4287"/>
    <w:rsid w:val="00EF5597"/>
    <w:rsid w:val="00F026F2"/>
    <w:rsid w:val="00F04B4C"/>
    <w:rsid w:val="00F10608"/>
    <w:rsid w:val="00F14D34"/>
    <w:rsid w:val="00F16362"/>
    <w:rsid w:val="00F16E99"/>
    <w:rsid w:val="00F21000"/>
    <w:rsid w:val="00F22D3E"/>
    <w:rsid w:val="00F22E33"/>
    <w:rsid w:val="00F230F5"/>
    <w:rsid w:val="00F244CC"/>
    <w:rsid w:val="00F264EC"/>
    <w:rsid w:val="00F2750F"/>
    <w:rsid w:val="00F27FE4"/>
    <w:rsid w:val="00F31E09"/>
    <w:rsid w:val="00F3694E"/>
    <w:rsid w:val="00F432CB"/>
    <w:rsid w:val="00F53BDD"/>
    <w:rsid w:val="00F564AE"/>
    <w:rsid w:val="00F613BA"/>
    <w:rsid w:val="00F6241B"/>
    <w:rsid w:val="00F62AE8"/>
    <w:rsid w:val="00F6316B"/>
    <w:rsid w:val="00F814D6"/>
    <w:rsid w:val="00F81B8F"/>
    <w:rsid w:val="00F81BC2"/>
    <w:rsid w:val="00F81C6A"/>
    <w:rsid w:val="00F84CBB"/>
    <w:rsid w:val="00F87B04"/>
    <w:rsid w:val="00F900C9"/>
    <w:rsid w:val="00FA009F"/>
    <w:rsid w:val="00FA032B"/>
    <w:rsid w:val="00FA4291"/>
    <w:rsid w:val="00FA51FA"/>
    <w:rsid w:val="00FA6CF4"/>
    <w:rsid w:val="00FB2464"/>
    <w:rsid w:val="00FB3E00"/>
    <w:rsid w:val="00FB6306"/>
    <w:rsid w:val="00FC14E5"/>
    <w:rsid w:val="00FC15B7"/>
    <w:rsid w:val="00FC1B3B"/>
    <w:rsid w:val="00FC2A30"/>
    <w:rsid w:val="00FC5219"/>
    <w:rsid w:val="00FD0B79"/>
    <w:rsid w:val="00FD12C6"/>
    <w:rsid w:val="00FD1823"/>
    <w:rsid w:val="00FD2C32"/>
    <w:rsid w:val="00FD383F"/>
    <w:rsid w:val="00FD469B"/>
    <w:rsid w:val="00FD5D4B"/>
    <w:rsid w:val="00FD77F0"/>
    <w:rsid w:val="00FE14E4"/>
    <w:rsid w:val="00FE234E"/>
    <w:rsid w:val="00FE3045"/>
    <w:rsid w:val="00FE5AEB"/>
    <w:rsid w:val="00FF109A"/>
    <w:rsid w:val="00FF12F1"/>
    <w:rsid w:val="00FF608F"/>
    <w:rsid w:val="0147567C"/>
    <w:rsid w:val="019B5BB7"/>
    <w:rsid w:val="04186C50"/>
    <w:rsid w:val="05671909"/>
    <w:rsid w:val="065063D6"/>
    <w:rsid w:val="0789259F"/>
    <w:rsid w:val="0A077AB4"/>
    <w:rsid w:val="0BD95DFA"/>
    <w:rsid w:val="0C7E5402"/>
    <w:rsid w:val="0F603CB1"/>
    <w:rsid w:val="10692E7C"/>
    <w:rsid w:val="11BA049B"/>
    <w:rsid w:val="12401F34"/>
    <w:rsid w:val="13DA110A"/>
    <w:rsid w:val="17486C88"/>
    <w:rsid w:val="175A5378"/>
    <w:rsid w:val="18A96A29"/>
    <w:rsid w:val="18F2339B"/>
    <w:rsid w:val="1BA90A6F"/>
    <w:rsid w:val="1BD32365"/>
    <w:rsid w:val="205C5F8E"/>
    <w:rsid w:val="20B57ECC"/>
    <w:rsid w:val="216D73E6"/>
    <w:rsid w:val="22B97C39"/>
    <w:rsid w:val="24861055"/>
    <w:rsid w:val="25A4254E"/>
    <w:rsid w:val="26FE1506"/>
    <w:rsid w:val="27B42FFB"/>
    <w:rsid w:val="2A6F5FD6"/>
    <w:rsid w:val="2A9B6323"/>
    <w:rsid w:val="2B922A5D"/>
    <w:rsid w:val="2C1C43EC"/>
    <w:rsid w:val="302F1C43"/>
    <w:rsid w:val="3139204C"/>
    <w:rsid w:val="32364C15"/>
    <w:rsid w:val="329C3CFF"/>
    <w:rsid w:val="32C05DB9"/>
    <w:rsid w:val="33FD57B6"/>
    <w:rsid w:val="38DD57FA"/>
    <w:rsid w:val="3A077D1A"/>
    <w:rsid w:val="3A1F3542"/>
    <w:rsid w:val="3BF94372"/>
    <w:rsid w:val="3EB42F90"/>
    <w:rsid w:val="3EDC01A0"/>
    <w:rsid w:val="408F157C"/>
    <w:rsid w:val="40C75EFF"/>
    <w:rsid w:val="43AF3571"/>
    <w:rsid w:val="469A2B00"/>
    <w:rsid w:val="4CEC2359"/>
    <w:rsid w:val="4DD64387"/>
    <w:rsid w:val="4F4D5853"/>
    <w:rsid w:val="50CC0F59"/>
    <w:rsid w:val="51D540ED"/>
    <w:rsid w:val="5213053E"/>
    <w:rsid w:val="54A221B2"/>
    <w:rsid w:val="560138E2"/>
    <w:rsid w:val="5629764F"/>
    <w:rsid w:val="5A472F1D"/>
    <w:rsid w:val="5C664FC4"/>
    <w:rsid w:val="5D641FD1"/>
    <w:rsid w:val="5EE32A77"/>
    <w:rsid w:val="61995C3B"/>
    <w:rsid w:val="61B35585"/>
    <w:rsid w:val="64975B21"/>
    <w:rsid w:val="64AA5237"/>
    <w:rsid w:val="660610FD"/>
    <w:rsid w:val="66673770"/>
    <w:rsid w:val="68AC1869"/>
    <w:rsid w:val="6A7A1194"/>
    <w:rsid w:val="6AF67A97"/>
    <w:rsid w:val="6BC05D18"/>
    <w:rsid w:val="6D8D3CCB"/>
    <w:rsid w:val="6EBD02E5"/>
    <w:rsid w:val="6EEB4938"/>
    <w:rsid w:val="6F0825F8"/>
    <w:rsid w:val="6FFF6DD6"/>
    <w:rsid w:val="71BB2A0F"/>
    <w:rsid w:val="743A5685"/>
    <w:rsid w:val="74CC3A02"/>
    <w:rsid w:val="74D568EA"/>
    <w:rsid w:val="76DB1BCE"/>
    <w:rsid w:val="783512C9"/>
    <w:rsid w:val="7ABC4B55"/>
    <w:rsid w:val="7B1C72B0"/>
    <w:rsid w:val="7B610406"/>
    <w:rsid w:val="7CDA1D20"/>
    <w:rsid w:val="7D7247B7"/>
    <w:rsid w:val="7E7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4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customStyle="1" w:styleId="17">
    <w:name w:val="Основной текст с отступом 2 Знак"/>
    <w:basedOn w:val="3"/>
    <w:link w:val="11"/>
    <w:qFormat/>
    <w:uiPriority w:val="99"/>
  </w:style>
  <w:style w:type="paragraph" w:customStyle="1" w:styleId="18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cs="Courier New" w:eastAsiaTheme="minorHAnsi"/>
      <w:lang w:val="ru-RU" w:eastAsia="en-US" w:bidi="ar-SA"/>
    </w:rPr>
  </w:style>
  <w:style w:type="paragraph" w:customStyle="1" w:styleId="19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customStyle="1" w:styleId="20">
    <w:name w:val="Верхний колонтитул Знак"/>
    <w:basedOn w:val="3"/>
    <w:link w:val="7"/>
    <w:qFormat/>
    <w:uiPriority w:val="99"/>
  </w:style>
  <w:style w:type="character" w:customStyle="1" w:styleId="21">
    <w:name w:val="Нижний колонтитул Знак"/>
    <w:basedOn w:val="3"/>
    <w:link w:val="9"/>
    <w:qFormat/>
    <w:uiPriority w:val="99"/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F22D-FCF2-4344-9353-BD7C917BB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6146</Words>
  <Characters>35037</Characters>
  <Lines>291</Lines>
  <Paragraphs>82</Paragraphs>
  <TotalTime>7</TotalTime>
  <ScaleCrop>false</ScaleCrop>
  <LinksUpToDate>false</LinksUpToDate>
  <CharactersWithSpaces>41101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2015-02-06T06:05:00Z</dcterms:created>
  <dc:creator>KSP1</dc:creator>
  <cp:lastModifiedBy>y_zhuravleva</cp:lastModifiedBy>
  <cp:lastPrinted>2022-04-27T07:14:00Z</cp:lastPrinted>
  <dcterms:modified xsi:type="dcterms:W3CDTF">2025-04-21T05:27:56Z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DD55738566BB4765AFBA5997D0FE09D2</vt:lpwstr>
  </property>
</Properties>
</file>