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818F5">
      <w:pPr>
        <w:spacing w:after="0" w:line="240" w:lineRule="auto"/>
        <w:jc w:val="center"/>
        <w:outlineLvl w:val="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КОНТРОЛЬНО - СЧЕТНАЯ ПАЛАТА МУНИЦИПАЛЬНОГО ОБРАЗОВАНИЯ </w:t>
      </w:r>
    </w:p>
    <w:p w14:paraId="40E46CFE">
      <w:pPr>
        <w:spacing w:after="0" w:line="240" w:lineRule="auto"/>
        <w:jc w:val="center"/>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«АХТУБИНСКИЙ МУНИЦИПАЛЬНЫЙ РАЙОН АСТРАХАНСКОЙ ОБЛАСТИ»</w:t>
      </w:r>
    </w:p>
    <w:p w14:paraId="2D10EEA3">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Волгоградская ул., д.141, г. Ахтубинск, Астраханская обл.,416500, Тел. (8-85141) 4-04-24 </w:t>
      </w:r>
    </w:p>
    <w:p w14:paraId="19FE9264">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ОКПО 78317643, ОГРН 1063022000282, ИНН/КПП 3001040259/300101001</w:t>
      </w:r>
    </w:p>
    <w:p w14:paraId="6EC930E3">
      <w:pPr>
        <w:spacing w:after="0" w:line="240" w:lineRule="auto"/>
        <w:jc w:val="center"/>
        <w:outlineLvl w:val="0"/>
        <w:rPr>
          <w:rFonts w:ascii="Times New Roman" w:hAnsi="Times New Roman" w:eastAsia="Times New Roman" w:cs="Times New Roman"/>
          <w:sz w:val="24"/>
          <w:szCs w:val="24"/>
          <w:lang w:eastAsia="ru-RU"/>
        </w:rPr>
      </w:pPr>
    </w:p>
    <w:p w14:paraId="37087DE7">
      <w:pPr>
        <w:pBdr>
          <w:top w:val="thinThickSmallGap" w:color="auto" w:sz="24" w:space="1"/>
        </w:pBdr>
        <w:spacing w:after="0" w:line="240" w:lineRule="auto"/>
        <w:jc w:val="center"/>
        <w:rPr>
          <w:rFonts w:ascii="Times New Roman" w:hAnsi="Times New Roman" w:eastAsia="Times New Roman" w:cs="Times New Roman"/>
          <w:sz w:val="24"/>
          <w:szCs w:val="24"/>
          <w:lang w:eastAsia="ru-RU"/>
        </w:rPr>
      </w:pPr>
    </w:p>
    <w:p w14:paraId="56D33282">
      <w:pPr>
        <w:spacing w:after="0" w:line="240" w:lineRule="auto"/>
        <w:ind w:right="-14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ЗАКЛЮЧЕНИЕ</w:t>
      </w:r>
    </w:p>
    <w:p w14:paraId="6F4A96B0">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по результатам внешней проверки годовой бюджетной отчетности </w:t>
      </w:r>
    </w:p>
    <w:p w14:paraId="7BF39D0F">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Управления культуры и кинофикации администрации муниципального образования «</w:t>
      </w:r>
      <w:r>
        <w:rPr>
          <w:rFonts w:ascii="Times New Roman" w:hAnsi="Times New Roman" w:eastAsia="Times New Roman"/>
          <w:b/>
          <w:sz w:val="24"/>
          <w:szCs w:val="24"/>
          <w:lang w:eastAsia="ru-RU"/>
        </w:rPr>
        <w:t>Ахтубинский муниципальный район Астраханской области</w:t>
      </w:r>
      <w:r>
        <w:rPr>
          <w:rFonts w:ascii="Times New Roman" w:hAnsi="Times New Roman" w:eastAsia="Times New Roman" w:cs="Times New Roman"/>
          <w:b/>
          <w:sz w:val="24"/>
          <w:szCs w:val="24"/>
          <w:lang w:eastAsia="ru-RU"/>
        </w:rPr>
        <w:t>» за 2024 год</w:t>
      </w:r>
    </w:p>
    <w:p w14:paraId="3E7CBE73">
      <w:pPr>
        <w:spacing w:after="0" w:line="240" w:lineRule="auto"/>
        <w:ind w:firstLine="567"/>
        <w:jc w:val="center"/>
        <w:rPr>
          <w:rFonts w:ascii="Times New Roman" w:hAnsi="Times New Roman" w:eastAsia="Times New Roman" w:cs="Times New Roman"/>
          <w:b/>
          <w:sz w:val="24"/>
          <w:szCs w:val="24"/>
          <w:lang w:eastAsia="ru-RU"/>
        </w:rPr>
      </w:pPr>
    </w:p>
    <w:p w14:paraId="641A66C7">
      <w:pPr>
        <w:spacing w:after="0" w:line="240" w:lineRule="auto"/>
        <w:jc w:val="center"/>
        <w:rPr>
          <w:rFonts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val="en-US" w:eastAsia="ru-RU"/>
        </w:rPr>
        <w:t>18</w:t>
      </w:r>
      <w:r>
        <w:rPr>
          <w:rFonts w:ascii="Times New Roman" w:hAnsi="Times New Roman" w:eastAsia="Times New Roman" w:cs="Times New Roman"/>
          <w:sz w:val="24"/>
          <w:szCs w:val="24"/>
          <w:highlight w:val="none"/>
          <w:lang w:eastAsia="ru-RU"/>
        </w:rPr>
        <w:t>.04.2025 г.</w:t>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ab/>
      </w:r>
      <w:r>
        <w:rPr>
          <w:rFonts w:ascii="Times New Roman" w:hAnsi="Times New Roman" w:eastAsia="Times New Roman" w:cs="Times New Roman"/>
          <w:sz w:val="24"/>
          <w:szCs w:val="24"/>
          <w:highlight w:val="none"/>
          <w:lang w:eastAsia="ru-RU"/>
        </w:rPr>
        <w:t>№З-</w:t>
      </w:r>
      <w:r>
        <w:rPr>
          <w:rFonts w:hint="default" w:ascii="Times New Roman" w:hAnsi="Times New Roman" w:eastAsia="Times New Roman" w:cs="Times New Roman"/>
          <w:sz w:val="24"/>
          <w:szCs w:val="24"/>
          <w:highlight w:val="none"/>
          <w:lang w:val="en-US" w:eastAsia="ru-RU"/>
        </w:rPr>
        <w:t>10</w:t>
      </w:r>
      <w:r>
        <w:rPr>
          <w:rFonts w:ascii="Times New Roman" w:hAnsi="Times New Roman" w:eastAsia="Times New Roman" w:cs="Times New Roman"/>
          <w:sz w:val="24"/>
          <w:szCs w:val="24"/>
          <w:highlight w:val="none"/>
          <w:lang w:eastAsia="ru-RU"/>
        </w:rPr>
        <w:t>/2025</w:t>
      </w:r>
    </w:p>
    <w:p w14:paraId="2FC0CF69">
      <w:pPr>
        <w:spacing w:after="0" w:line="240" w:lineRule="auto"/>
        <w:ind w:firstLine="567"/>
        <w:rPr>
          <w:rFonts w:ascii="Times New Roman" w:hAnsi="Times New Roman" w:eastAsia="Times New Roman" w:cs="Times New Roman"/>
          <w:sz w:val="24"/>
          <w:szCs w:val="24"/>
          <w:lang w:eastAsia="ru-RU"/>
        </w:rPr>
      </w:pPr>
    </w:p>
    <w:p w14:paraId="2F791F58">
      <w:pPr>
        <w:spacing w:after="0" w:line="240" w:lineRule="auto"/>
        <w:ind w:right="-2"/>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Основание для проведения контрольного мероприятия: </w:t>
      </w:r>
      <w:r>
        <w:rPr>
          <w:rFonts w:ascii="Times New Roman" w:hAnsi="Times New Roman" w:eastAsia="Times New Roman" w:cs="Times New Roman"/>
          <w:sz w:val="24"/>
          <w:szCs w:val="24"/>
          <w:lang w:eastAsia="ru-RU"/>
        </w:rPr>
        <w:t>Статья 264.4 Бюджетного кодекса Российской Федерации, п. 3.1. План работы Контрольно-счетной палаты муниципального образования «Ахтубинский муниципальный район Астраханской области» на 2025 год, распоряжение Контрольно-счетной палаты муниципального образования «Ахтубинский муниципальный район Астраханской области» от 20.03.2025 г. №10-р.</w:t>
      </w:r>
    </w:p>
    <w:p w14:paraId="30523297">
      <w:pPr>
        <w:spacing w:after="0" w:line="240" w:lineRule="auto"/>
        <w:ind w:right="-2"/>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Целью проведения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внешней проверки являются:</w:t>
      </w:r>
    </w:p>
    <w:p w14:paraId="34248080">
      <w:pPr>
        <w:pStyle w:val="15"/>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установление полноты бюджетной отчетности главных администраторов средств районного бюджета;</w:t>
      </w:r>
    </w:p>
    <w:p w14:paraId="0B506007">
      <w:pPr>
        <w:pStyle w:val="15"/>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оценка достоверности показателей бюджетной отчетности главных администраторов средств районного бюджета;</w:t>
      </w:r>
    </w:p>
    <w:p w14:paraId="3EA64BFD">
      <w:pPr>
        <w:pStyle w:val="15"/>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проверка на соответствие порядку ведения бюджетного учета, законодательству Российской Федерации, Астраханской области, муниципальным правовым актам Ахтубинского района;</w:t>
      </w:r>
    </w:p>
    <w:p w14:paraId="6ECBAC79">
      <w:pPr>
        <w:pStyle w:val="15"/>
        <w:numPr>
          <w:ilvl w:val="0"/>
          <w:numId w:val="1"/>
        </w:numPr>
        <w:shd w:val="clear" w:color="auto" w:fill="FFFFFF"/>
        <w:spacing w:after="0" w:line="240" w:lineRule="auto"/>
        <w:ind w:left="567" w:hanging="283"/>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анализ эффективности и результативности использования бюджетных средств.</w:t>
      </w:r>
    </w:p>
    <w:p w14:paraId="694F3977">
      <w:pPr>
        <w:spacing w:after="0" w:line="240" w:lineRule="auto"/>
        <w:jc w:val="both"/>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b/>
          <w:bCs/>
          <w:color w:val="2D2D2D"/>
          <w:spacing w:val="2"/>
          <w:sz w:val="24"/>
          <w:szCs w:val="24"/>
          <w:lang w:eastAsia="ru-RU"/>
        </w:rPr>
        <w:t>Проверяемый период:</w:t>
      </w:r>
      <w:r>
        <w:rPr>
          <w:rFonts w:ascii="Times New Roman" w:hAnsi="Times New Roman" w:eastAsia="Times New Roman" w:cs="Times New Roman"/>
          <w:color w:val="2D2D2D"/>
          <w:spacing w:val="2"/>
          <w:sz w:val="24"/>
          <w:szCs w:val="24"/>
          <w:lang w:eastAsia="ru-RU"/>
        </w:rPr>
        <w:t xml:space="preserve"> 2024 год.</w:t>
      </w:r>
    </w:p>
    <w:p w14:paraId="3ACC97AB">
      <w:pPr>
        <w:spacing w:after="0" w:line="240" w:lineRule="auto"/>
        <w:ind w:right="-2"/>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Предметом внешней проверки</w:t>
      </w:r>
      <w:r>
        <w:rPr>
          <w:rFonts w:ascii="Times New Roman" w:hAnsi="Times New Roman" w:eastAsia="Times New Roman" w:cs="Times New Roman"/>
          <w:sz w:val="24"/>
          <w:szCs w:val="24"/>
          <w:lang w:eastAsia="ru-RU"/>
        </w:rPr>
        <w:t xml:space="preserve"> является годовая бюджетная отчетность </w:t>
      </w:r>
      <w:r>
        <w:rPr>
          <w:rFonts w:ascii="Times New Roman" w:hAnsi="Times New Roman" w:eastAsia="Times New Roman"/>
          <w:sz w:val="24"/>
          <w:szCs w:val="24"/>
          <w:lang w:eastAsia="ru-RU"/>
        </w:rPr>
        <w:t>Управления культуры и кинофикации администрации муниципального образования «Ахтубинский муниципальный район Астраханской области»</w:t>
      </w:r>
      <w:r>
        <w:rPr>
          <w:rFonts w:ascii="Times New Roman" w:hAnsi="Times New Roman" w:eastAsia="Times New Roman" w:cs="Times New Roman"/>
          <w:sz w:val="24"/>
          <w:szCs w:val="24"/>
          <w:lang w:eastAsia="ru-RU"/>
        </w:rPr>
        <w:t xml:space="preserve"> за 2024 год.</w:t>
      </w:r>
    </w:p>
    <w:p w14:paraId="049D4486">
      <w:pPr>
        <w:spacing w:after="0" w:line="240" w:lineRule="auto"/>
        <w:ind w:right="-2"/>
        <w:jc w:val="both"/>
        <w:rPr>
          <w:rFonts w:ascii="Times New Roman" w:hAnsi="Times New Roman" w:eastAsia="Times New Roman" w:cs="Times New Roman"/>
          <w:b w:val="0"/>
          <w:bCs/>
          <w:sz w:val="24"/>
          <w:szCs w:val="24"/>
          <w:lang w:eastAsia="zh-CN"/>
        </w:rPr>
      </w:pPr>
      <w:r>
        <w:rPr>
          <w:rFonts w:ascii="Times New Roman" w:hAnsi="Times New Roman" w:eastAsia="Times New Roman" w:cs="Times New Roman"/>
          <w:b/>
          <w:sz w:val="24"/>
          <w:szCs w:val="24"/>
          <w:lang w:eastAsia="zh-CN"/>
        </w:rPr>
        <w:t xml:space="preserve">Метод проведения проверки: </w:t>
      </w:r>
      <w:r>
        <w:rPr>
          <w:rFonts w:ascii="Times New Roman" w:hAnsi="Times New Roman" w:eastAsia="Times New Roman" w:cs="Times New Roman"/>
          <w:b w:val="0"/>
          <w:bCs/>
          <w:sz w:val="24"/>
          <w:szCs w:val="24"/>
          <w:lang w:eastAsia="zh-CN"/>
        </w:rPr>
        <w:t>камеральный, выборочный.</w:t>
      </w:r>
    </w:p>
    <w:p w14:paraId="627DA319">
      <w:pPr>
        <w:spacing w:after="0" w:line="240" w:lineRule="auto"/>
        <w:ind w:right="-2"/>
        <w:jc w:val="both"/>
        <w:rPr>
          <w:rFonts w:ascii="Times New Roman" w:hAnsi="Times New Roman" w:eastAsia="Times New Roman" w:cs="Times New Roman"/>
          <w:b w:val="0"/>
          <w:bCs/>
          <w:sz w:val="24"/>
          <w:szCs w:val="24"/>
          <w:lang w:eastAsia="zh-CN"/>
        </w:rPr>
      </w:pPr>
      <w:r>
        <w:rPr>
          <w:rFonts w:ascii="Times New Roman" w:hAnsi="Times New Roman" w:eastAsia="Times New Roman" w:cs="Times New Roman"/>
          <w:b/>
          <w:sz w:val="24"/>
          <w:szCs w:val="24"/>
          <w:lang w:eastAsia="zh-CN"/>
        </w:rPr>
        <w:t xml:space="preserve">Срок проведения контрольного мероприятия: </w:t>
      </w:r>
      <w:r>
        <w:rPr>
          <w:rFonts w:ascii="Times New Roman" w:hAnsi="Times New Roman" w:eastAsia="Times New Roman" w:cs="Times New Roman"/>
          <w:b w:val="0"/>
          <w:bCs/>
          <w:sz w:val="24"/>
          <w:szCs w:val="24"/>
          <w:lang w:eastAsia="zh-CN"/>
        </w:rPr>
        <w:t>с 2</w:t>
      </w:r>
      <w:r>
        <w:rPr>
          <w:rFonts w:hint="default" w:ascii="Times New Roman" w:hAnsi="Times New Roman" w:eastAsia="Times New Roman" w:cs="Times New Roman"/>
          <w:b w:val="0"/>
          <w:bCs/>
          <w:sz w:val="24"/>
          <w:szCs w:val="24"/>
          <w:lang w:val="ru-RU" w:eastAsia="zh-CN"/>
        </w:rPr>
        <w:t>0</w:t>
      </w:r>
      <w:r>
        <w:rPr>
          <w:rFonts w:ascii="Times New Roman" w:hAnsi="Times New Roman" w:eastAsia="Times New Roman" w:cs="Times New Roman"/>
          <w:b w:val="0"/>
          <w:bCs/>
          <w:sz w:val="24"/>
          <w:szCs w:val="24"/>
          <w:lang w:eastAsia="zh-CN"/>
        </w:rPr>
        <w:t xml:space="preserve">.03.2025 г. по </w:t>
      </w:r>
      <w:r>
        <w:rPr>
          <w:rFonts w:hint="default" w:ascii="Times New Roman" w:hAnsi="Times New Roman" w:eastAsia="Times New Roman" w:cs="Times New Roman"/>
          <w:b w:val="0"/>
          <w:bCs/>
          <w:sz w:val="24"/>
          <w:szCs w:val="24"/>
          <w:lang w:val="ru-RU" w:eastAsia="zh-CN"/>
        </w:rPr>
        <w:t>19</w:t>
      </w:r>
      <w:r>
        <w:rPr>
          <w:rFonts w:ascii="Times New Roman" w:hAnsi="Times New Roman" w:eastAsia="Times New Roman" w:cs="Times New Roman"/>
          <w:b w:val="0"/>
          <w:bCs/>
          <w:sz w:val="24"/>
          <w:szCs w:val="24"/>
          <w:lang w:eastAsia="zh-CN"/>
        </w:rPr>
        <w:t>.04.2025 г.</w:t>
      </w:r>
    </w:p>
    <w:p w14:paraId="44B31951">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Ответственные должностные лица, подписавшие отчетность:</w:t>
      </w:r>
    </w:p>
    <w:p w14:paraId="529AB36C">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Руководитель – Долина О.Н.</w:t>
      </w:r>
    </w:p>
    <w:p w14:paraId="12E6634A">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Директор-главный бухгалтер МКУ «Централизованная бухгалтерия управления культуры и кинофикации» – Книжникова Т.П.</w:t>
      </w:r>
    </w:p>
    <w:p w14:paraId="5C14F114">
      <w:pPr>
        <w:spacing w:after="0" w:line="240" w:lineRule="auto"/>
        <w:jc w:val="both"/>
        <w:rPr>
          <w:rFonts w:hint="default" w:ascii="Times New Roman" w:hAnsi="Times New Roman" w:eastAsia="Times New Roman" w:cs="Times New Roman"/>
          <w:b w:val="0"/>
          <w:bCs/>
          <w:sz w:val="24"/>
          <w:szCs w:val="24"/>
          <w:lang w:val="ru-RU" w:eastAsia="zh-CN"/>
        </w:rPr>
      </w:pPr>
      <w:r>
        <w:rPr>
          <w:rFonts w:ascii="Times New Roman" w:hAnsi="Times New Roman" w:eastAsia="Times New Roman" w:cs="Times New Roman"/>
          <w:b/>
          <w:bCs w:val="0"/>
          <w:sz w:val="24"/>
          <w:szCs w:val="24"/>
          <w:lang w:eastAsia="zh-CN"/>
        </w:rPr>
        <w:t>Исполнитель</w:t>
      </w:r>
      <w:r>
        <w:rPr>
          <w:rFonts w:ascii="Times New Roman" w:hAnsi="Times New Roman" w:eastAsia="Times New Roman" w:cs="Times New Roman"/>
          <w:b w:val="0"/>
          <w:bCs/>
          <w:sz w:val="24"/>
          <w:szCs w:val="24"/>
          <w:lang w:eastAsia="zh-CN"/>
        </w:rPr>
        <w:t xml:space="preserve"> контрольного мероприятия: </w:t>
      </w:r>
      <w:r>
        <w:rPr>
          <w:rFonts w:ascii="Times New Roman" w:hAnsi="Times New Roman" w:eastAsia="Times New Roman" w:cs="Times New Roman"/>
          <w:b w:val="0"/>
          <w:bCs/>
          <w:sz w:val="24"/>
          <w:szCs w:val="24"/>
          <w:lang w:val="ru-RU" w:eastAsia="zh-CN"/>
        </w:rPr>
        <w:t>председатель</w:t>
      </w:r>
      <w:r>
        <w:rPr>
          <w:rFonts w:ascii="Times New Roman" w:hAnsi="Times New Roman" w:eastAsia="Times New Roman" w:cs="Times New Roman"/>
          <w:b w:val="0"/>
          <w:bCs/>
          <w:sz w:val="24"/>
          <w:szCs w:val="24"/>
          <w:lang w:eastAsia="zh-CN"/>
        </w:rPr>
        <w:t xml:space="preserve"> Контрольно-счетной палаты </w:t>
      </w:r>
      <w:r>
        <w:rPr>
          <w:rFonts w:ascii="Times New Roman" w:hAnsi="Times New Roman" w:eastAsia="Times New Roman" w:cs="Times New Roman"/>
          <w:b w:val="0"/>
          <w:bCs/>
          <w:sz w:val="24"/>
          <w:szCs w:val="24"/>
          <w:lang w:val="ru-RU" w:eastAsia="zh-CN"/>
        </w:rPr>
        <w:t>Журавлева</w:t>
      </w:r>
      <w:r>
        <w:rPr>
          <w:rFonts w:hint="default" w:ascii="Times New Roman" w:hAnsi="Times New Roman" w:eastAsia="Times New Roman" w:cs="Times New Roman"/>
          <w:b w:val="0"/>
          <w:bCs/>
          <w:sz w:val="24"/>
          <w:szCs w:val="24"/>
          <w:lang w:val="ru-RU" w:eastAsia="zh-CN"/>
        </w:rPr>
        <w:t xml:space="preserve"> Ю.Ю.</w:t>
      </w:r>
    </w:p>
    <w:p w14:paraId="0E02DB32">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Применяемые сокращения:</w:t>
      </w:r>
    </w:p>
    <w:p w14:paraId="6CD2E69C">
      <w:pPr>
        <w:spacing w:after="0" w:line="240" w:lineRule="auto"/>
        <w:ind w:firstLine="488" w:firstLineChars="200"/>
        <w:jc w:val="both"/>
        <w:rPr>
          <w:rFonts w:ascii="Times New Roman" w:hAnsi="Times New Roman" w:eastAsia="Times New Roman" w:cs="Times New Roman"/>
          <w:i/>
          <w:iCs/>
          <w:color w:val="2D2D2D"/>
          <w:spacing w:val="2"/>
          <w:sz w:val="24"/>
          <w:szCs w:val="24"/>
          <w:lang w:eastAsia="ru-RU"/>
        </w:rPr>
      </w:pPr>
      <w:r>
        <w:rPr>
          <w:rFonts w:ascii="Times New Roman" w:hAnsi="Times New Roman" w:eastAsia="Times New Roman" w:cs="Times New Roman"/>
          <w:color w:val="2D2D2D"/>
          <w:spacing w:val="2"/>
          <w:sz w:val="24"/>
          <w:szCs w:val="24"/>
          <w:lang w:eastAsia="ru-RU"/>
        </w:rPr>
        <w:t xml:space="preserve">Контрольно-счетная палата муниципального образования «Ахтубинский муниципальный район Астраханской области» далее - </w:t>
      </w:r>
      <w:r>
        <w:rPr>
          <w:rFonts w:ascii="Times New Roman" w:hAnsi="Times New Roman" w:eastAsia="Times New Roman" w:cs="Times New Roman"/>
          <w:i/>
          <w:iCs/>
          <w:color w:val="2D2D2D"/>
          <w:spacing w:val="2"/>
          <w:sz w:val="24"/>
          <w:szCs w:val="24"/>
          <w:lang w:eastAsia="ru-RU"/>
        </w:rPr>
        <w:t>Контрольно-счетная палата, КСП МО «Ахтубинский район»;</w:t>
      </w:r>
    </w:p>
    <w:p w14:paraId="660AE0F3">
      <w:pPr>
        <w:pStyle w:val="15"/>
        <w:spacing w:after="120" w:afterLines="50" w:line="240" w:lineRule="auto"/>
        <w:ind w:left="0" w:firstLine="480" w:firstLineChars="200"/>
        <w:jc w:val="both"/>
        <w:rPr>
          <w:rFonts w:ascii="Times New Roman" w:hAnsi="Times New Roman" w:eastAsia="Times New Roman" w:cs="Times New Roman"/>
          <w:i/>
          <w:iCs/>
          <w:sz w:val="24"/>
          <w:szCs w:val="24"/>
          <w:lang w:eastAsia="ru-RU"/>
        </w:rPr>
      </w:pPr>
      <w:r>
        <w:rPr>
          <w:rFonts w:ascii="Times New Roman" w:hAnsi="Times New Roman" w:eastAsia="Times New Roman"/>
          <w:sz w:val="24"/>
          <w:szCs w:val="24"/>
          <w:lang w:eastAsia="ru-RU"/>
        </w:rPr>
        <w:t>Управление культуры и кинофикации администрации муниципального образования «Ахтубинский муниципальный район Астраханской области»</w:t>
      </w:r>
      <w:r>
        <w:rPr>
          <w:rFonts w:ascii="Times New Roman" w:hAnsi="Times New Roman" w:eastAsia="Times New Roman" w:cs="Times New Roman"/>
          <w:sz w:val="24"/>
          <w:szCs w:val="24"/>
          <w:lang w:eastAsia="ru-RU"/>
        </w:rPr>
        <w:t xml:space="preserve"> - </w:t>
      </w:r>
      <w:r>
        <w:rPr>
          <w:rFonts w:ascii="Times New Roman" w:hAnsi="Times New Roman" w:eastAsia="Times New Roman" w:cs="Times New Roman"/>
          <w:i/>
          <w:iCs/>
          <w:sz w:val="24"/>
          <w:szCs w:val="24"/>
          <w:lang w:eastAsia="ru-RU"/>
        </w:rPr>
        <w:t>Управление культуры;</w:t>
      </w:r>
    </w:p>
    <w:p w14:paraId="13AC4A11">
      <w:pPr>
        <w:pStyle w:val="15"/>
        <w:spacing w:after="120" w:afterLines="50" w:line="240" w:lineRule="auto"/>
        <w:ind w:left="0" w:firstLine="480" w:firstLine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Администрация муниципального образования </w:t>
      </w:r>
      <w:r>
        <w:rPr>
          <w:rFonts w:ascii="Times New Roman" w:hAnsi="Times New Roman" w:eastAsia="Times New Roman"/>
          <w:sz w:val="24"/>
          <w:szCs w:val="24"/>
          <w:lang w:eastAsia="ru-RU"/>
        </w:rPr>
        <w:t xml:space="preserve">«Ахтубинский муниципальный район Астраханской области» - </w:t>
      </w:r>
      <w:r>
        <w:rPr>
          <w:rFonts w:ascii="Times New Roman" w:hAnsi="Times New Roman" w:eastAsia="Times New Roman"/>
          <w:i/>
          <w:iCs/>
          <w:sz w:val="24"/>
          <w:szCs w:val="24"/>
          <w:lang w:eastAsia="ru-RU"/>
        </w:rPr>
        <w:t>Администрация МО «Ахтубинский район»</w:t>
      </w:r>
      <w:r>
        <w:rPr>
          <w:rFonts w:ascii="Times New Roman" w:hAnsi="Times New Roman" w:eastAsia="Times New Roman"/>
          <w:sz w:val="24"/>
          <w:szCs w:val="24"/>
          <w:lang w:eastAsia="ru-RU"/>
        </w:rPr>
        <w:t>;</w:t>
      </w:r>
    </w:p>
    <w:p w14:paraId="228F8554">
      <w:pPr>
        <w:pStyle w:val="15"/>
        <w:spacing w:after="120" w:afterLines="50" w:line="240" w:lineRule="auto"/>
        <w:ind w:left="0" w:firstLine="480" w:firstLineChars="200"/>
        <w:jc w:val="both"/>
        <w:rPr>
          <w:rFonts w:ascii="Times New Roman" w:hAnsi="Times New Roman" w:eastAsia="Times New Roman" w:cs="Times New Roman"/>
          <w:i/>
          <w:iCs/>
          <w:sz w:val="24"/>
          <w:szCs w:val="24"/>
          <w:lang w:eastAsia="ru-RU"/>
        </w:rPr>
      </w:pPr>
      <w:r>
        <w:rPr>
          <w:rFonts w:ascii="Times New Roman" w:hAnsi="Times New Roman" w:cs="Times New Roman"/>
          <w:color w:val="000000" w:themeColor="text1"/>
          <w:sz w:val="24"/>
          <w:szCs w:val="24"/>
          <w14:textFill>
            <w14:solidFill>
              <w14:schemeClr w14:val="tx1"/>
            </w14:solidFill>
          </w14:textFill>
        </w:rPr>
        <w:t xml:space="preserve">Приказ финансового управления администрации муниципального образования «Ахтубинский муниципальный район Астраханской области» «О внесении изменений в сводную бюджетную роспись бюджета муниципального образования «Ахтубинский муниципальный район Астраханской области» на 2024 год и плановый период 2025 и 2026 годов» от 28.12.2024 г. №180-С - </w:t>
      </w:r>
      <w:r>
        <w:rPr>
          <w:rFonts w:ascii="Times New Roman" w:hAnsi="Times New Roman" w:cs="Times New Roman"/>
          <w:i/>
          <w:iCs/>
          <w:color w:val="000000" w:themeColor="text1"/>
          <w:sz w:val="24"/>
          <w:szCs w:val="24"/>
          <w14:textFill>
            <w14:solidFill>
              <w14:schemeClr w14:val="tx1"/>
            </w14:solidFill>
          </w14:textFill>
        </w:rPr>
        <w:t>сводная бюджетная роспись от 28.12.2024 г</w:t>
      </w:r>
      <w:r>
        <w:rPr>
          <w:rFonts w:ascii="Times New Roman" w:hAnsi="Times New Roman" w:cs="Times New Roman"/>
          <w:color w:val="000000" w:themeColor="text1"/>
          <w:sz w:val="24"/>
          <w:szCs w:val="24"/>
          <w14:textFill>
            <w14:solidFill>
              <w14:schemeClr w14:val="tx1"/>
            </w14:solidFill>
          </w14:textFill>
        </w:rPr>
        <w:t>.</w:t>
      </w:r>
    </w:p>
    <w:p w14:paraId="2BE539D4">
      <w:pPr>
        <w:keepNext w:val="0"/>
        <w:keepLines w:val="0"/>
        <w:pageBreakBefore w:val="0"/>
        <w:widowControl/>
        <w:kinsoku/>
        <w:wordWrap/>
        <w:overflowPunct/>
        <w:topLinePunct w:val="0"/>
        <w:autoSpaceDE/>
        <w:autoSpaceDN/>
        <w:bidi w:val="0"/>
        <w:adjustRightInd/>
        <w:snapToGrid/>
        <w:spacing w:after="0" w:line="240" w:lineRule="auto"/>
        <w:ind w:right="79" w:firstLine="480" w:firstLineChars="200"/>
        <w:jc w:val="both"/>
        <w:textAlignment w:val="auto"/>
        <w:rPr>
          <w:rFonts w:ascii="Times New Roman" w:hAnsi="Times New Roman" w:eastAsiaTheme="minorHAnsi" w:cstheme="minorBidi"/>
          <w:color w:val="000000" w:themeColor="text1"/>
          <w:sz w:val="24"/>
          <w:szCs w:val="24"/>
          <w:lang w:val="ru-RU" w:eastAsia="en-US" w:bidi="ar-SA"/>
          <w14:textFill>
            <w14:solidFill>
              <w14:schemeClr w14:val="tx1"/>
            </w14:solidFill>
          </w14:textFill>
        </w:rPr>
      </w:pPr>
      <w:r>
        <w:rPr>
          <w:rFonts w:ascii="Times New Roman" w:hAnsi="Times New Roman" w:eastAsiaTheme="minorHAnsi" w:cstheme="minorBidi"/>
          <w:color w:val="000000" w:themeColor="text1"/>
          <w:sz w:val="24"/>
          <w:szCs w:val="24"/>
          <w:lang w:val="ru-RU" w:eastAsia="en-US" w:bidi="ar-SA"/>
          <w14:textFill>
            <w14:solidFill>
              <w14:schemeClr w14:val="tx1"/>
            </w14:solidFill>
          </w14:textFill>
        </w:rPr>
        <w:t>Основанием для проведения внешней проверки годового отчета за 2024 год являются следующие нормативные правовые акты:</w:t>
      </w:r>
    </w:p>
    <w:p w14:paraId="79F4DFBE">
      <w:pPr>
        <w:keepNext w:val="0"/>
        <w:keepLines w:val="0"/>
        <w:pageBreakBefore w:val="0"/>
        <w:widowControl/>
        <w:kinsoku/>
        <w:wordWrap/>
        <w:overflowPunct/>
        <w:topLinePunct w:val="0"/>
        <w:autoSpaceDE/>
        <w:autoSpaceDN/>
        <w:bidi w:val="0"/>
        <w:adjustRightInd/>
        <w:snapToGrid/>
        <w:spacing w:after="0" w:line="240" w:lineRule="auto"/>
        <w:ind w:right="79"/>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Бюджетный кодекс Российской Федерации (далее – БК РФ);</w:t>
      </w:r>
    </w:p>
    <w:p w14:paraId="208F78C2">
      <w:pPr>
        <w:pStyle w:val="15"/>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Порядок осуществления внешней проверки годового отчета об исполнении бюджета муниципального образования «Ахтубинский район», утвержденным решением Совета МО «Ахтубинский район» от 16.03.2017г №295 (далее – Порядок</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от 16.03.2017г №295); </w:t>
      </w:r>
    </w:p>
    <w:p w14:paraId="6B143E2E">
      <w:pPr>
        <w:pStyle w:val="15"/>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14:paraId="0AC81349">
      <w:pPr>
        <w:pStyle w:val="15"/>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14:paraId="7FA6ACDD">
      <w:pPr>
        <w:pStyle w:val="15"/>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 Минфина России от 06.12.2010 №162н «Об утверждении Плана счетов бюджетного учета и Инструкции по его применению» (далее – Инструкция №162н).</w:t>
      </w:r>
    </w:p>
    <w:p w14:paraId="3B33E6BE">
      <w:pPr>
        <w:pStyle w:val="15"/>
        <w:spacing w:after="0" w:line="240" w:lineRule="auto"/>
        <w:ind w:left="0" w:leftChars="0" w:firstLine="0" w:firstLineChars="0"/>
        <w:jc w:val="both"/>
        <w:rPr>
          <w:rFonts w:ascii="Times New Roman" w:hAnsi="Times New Roman" w:eastAsia="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sz w:val="24"/>
          <w:szCs w:val="24"/>
          <w:lang w:eastAsia="ru-RU"/>
        </w:rPr>
        <w:t>Приказ Минфина России от 31.12.2016 №257н «Об утверждении федерального стандарта бухгалтерского учета для организаций государственного сектора «Основные средства» (далее - Приказ от 31.12.2016 №257н);</w:t>
      </w:r>
    </w:p>
    <w:p w14:paraId="773AFA5A">
      <w:pPr>
        <w:pStyle w:val="15"/>
        <w:spacing w:after="0" w:line="240" w:lineRule="auto"/>
        <w:ind w:left="0" w:leftChars="0" w:firstLine="0" w:firstLineChars="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Приказ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от 15.04.2021 №61н); </w:t>
      </w:r>
    </w:p>
    <w:p w14:paraId="23F8E77C">
      <w:pPr>
        <w:pStyle w:val="15"/>
        <w:spacing w:after="72" w:afterLines="3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sz w:val="24"/>
          <w:szCs w:val="24"/>
          <w:lang w:eastAsia="ru-RU"/>
        </w:rPr>
        <w:t xml:space="preserve">Приказ Минфина России от 28.02.2018 N 37н </w:t>
      </w:r>
      <w:r>
        <w:rPr>
          <w:rFonts w:hint="default" w:ascii="Times New Roman" w:hAnsi="Times New Roman" w:eastAsia="Times New Roman"/>
          <w:sz w:val="24"/>
          <w:szCs w:val="24"/>
          <w:lang w:val="en-US" w:eastAsia="ru-RU"/>
        </w:rPr>
        <w:t>«</w:t>
      </w:r>
      <w:r>
        <w:rPr>
          <w:rFonts w:hint="default" w:ascii="Times New Roman" w:hAnsi="Times New Roman" w:eastAsia="Times New Roman"/>
          <w:sz w:val="24"/>
          <w:szCs w:val="24"/>
          <w:lang w:eastAsia="ru-RU"/>
        </w:rPr>
        <w:t>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r>
        <w:rPr>
          <w:rFonts w:hint="default" w:ascii="Times New Roman" w:hAnsi="Times New Roman" w:eastAsia="Times New Roman"/>
          <w:sz w:val="24"/>
          <w:szCs w:val="24"/>
          <w:lang w:val="en-US" w:eastAsia="ru-RU"/>
        </w:rPr>
        <w:t>»</w:t>
      </w:r>
      <w:r>
        <w:rPr>
          <w:rFonts w:ascii="Times New Roman" w:hAnsi="Times New Roman" w:eastAsia="Times New Roman"/>
          <w:color w:val="FF0000"/>
          <w:sz w:val="24"/>
          <w:szCs w:val="24"/>
          <w:lang w:eastAsia="ru-RU"/>
        </w:rPr>
        <w:t xml:space="preserve"> </w:t>
      </w:r>
      <w:r>
        <w:rPr>
          <w:rFonts w:ascii="Times New Roman" w:hAnsi="Times New Roman" w:eastAsia="Times New Roman"/>
          <w:sz w:val="24"/>
          <w:szCs w:val="24"/>
          <w:lang w:eastAsia="ru-RU"/>
        </w:rPr>
        <w:t>(далее - Приказ от 28.02.2018 №37н).</w:t>
      </w:r>
    </w:p>
    <w:p w14:paraId="0C99F2B9">
      <w:pPr>
        <w:suppressAutoHyphens/>
        <w:spacing w:after="0" w:line="240" w:lineRule="auto"/>
        <w:ind w:firstLine="709"/>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1. Общие сведения</w:t>
      </w:r>
    </w:p>
    <w:p w14:paraId="294DD64D">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Полное наименование: Управление культуры и кинофикации администрации муниципального образования «Ахтубинский муниципальный район Астраханской области».</w:t>
      </w:r>
    </w:p>
    <w:p w14:paraId="27D75F0F">
      <w:pPr>
        <w:suppressAutoHyphens/>
        <w:spacing w:after="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Местонахождение объекта контроля и его юридический адрес: </w:t>
      </w:r>
      <w:r>
        <w:rPr>
          <w:rFonts w:ascii="Times New Roman" w:hAnsi="Times New Roman" w:eastAsia="Times New Roman"/>
          <w:sz w:val="24"/>
          <w:szCs w:val="24"/>
          <w:lang w:eastAsia="zh-CN"/>
        </w:rPr>
        <w:t>416500 Россия, Астраханская область, г. Ахтубинск, ул. Волгоградская, 79.</w:t>
      </w:r>
    </w:p>
    <w:p w14:paraId="24667AB1">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Контактная информация: телефон/факс: </w:t>
      </w:r>
      <w:r>
        <w:rPr>
          <w:rFonts w:ascii="Times New Roman" w:hAnsi="Times New Roman" w:eastAsia="Times New Roman" w:cs="Times New Roman"/>
          <w:sz w:val="24"/>
          <w:szCs w:val="24"/>
          <w:lang w:eastAsia="zh-CN"/>
        </w:rPr>
        <w:t>(85141) 5-23-61, 5-24-04</w:t>
      </w:r>
      <w:r>
        <w:rPr>
          <w:rFonts w:ascii="Times New Roman" w:hAnsi="Times New Roman" w:eastAsia="Times New Roman" w:cs="Times New Roman"/>
          <w:sz w:val="24"/>
          <w:szCs w:val="24"/>
          <w:lang w:eastAsia="ru-RU"/>
        </w:rPr>
        <w:t xml:space="preserve">. </w:t>
      </w:r>
    </w:p>
    <w:p w14:paraId="0297BF8E">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Официальная эл. почта: </w:t>
      </w:r>
      <w:r>
        <w:fldChar w:fldCharType="begin"/>
      </w:r>
      <w:r>
        <w:instrText xml:space="preserve"> HYPERLINK "mailto:aht.upr.kult.cait@mail.ru" </w:instrText>
      </w:r>
      <w:r>
        <w:fldChar w:fldCharType="separate"/>
      </w:r>
      <w:r>
        <w:rPr>
          <w:rStyle w:val="5"/>
          <w:rFonts w:ascii="Times New Roman" w:hAnsi="Times New Roman" w:eastAsia="Times New Roman" w:cs="Times New Roman"/>
          <w:sz w:val="24"/>
          <w:szCs w:val="24"/>
          <w:lang w:eastAsia="ru-RU"/>
        </w:rPr>
        <w:t>aht.upr.kult.cait@mail.ru</w:t>
      </w:r>
      <w:r>
        <w:rPr>
          <w:rStyle w:val="5"/>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w:t>
      </w:r>
    </w:p>
    <w:p w14:paraId="091AF56E">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ИНН/КПП: 3001000658 / 300101001.</w:t>
      </w:r>
    </w:p>
    <w:p w14:paraId="52068CD3">
      <w:pPr>
        <w:suppressAutoHyphens/>
        <w:autoSpaceDE w:val="0"/>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Информация о подведомственных учреждениях:</w:t>
      </w:r>
    </w:p>
    <w:p w14:paraId="7FE2AFCA">
      <w:p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 МКУК «Межпоселенческая центральная библиотека»;</w:t>
      </w:r>
    </w:p>
    <w:p w14:paraId="5184C58A">
      <w:p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 МКУК «Центр народной культуры»;</w:t>
      </w:r>
    </w:p>
    <w:p w14:paraId="65B25134">
      <w:p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 МКУК «Районный историко-краеведческий музей»;</w:t>
      </w:r>
    </w:p>
    <w:p w14:paraId="43A3ED61">
      <w:p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 МКУ «Хозяйственно-техническая служба»;</w:t>
      </w:r>
    </w:p>
    <w:p w14:paraId="75AD87D5">
      <w:p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 МКУ ДО «РДХШ №4 им. П.И. Котова»;</w:t>
      </w:r>
    </w:p>
    <w:p w14:paraId="307168E6">
      <w:p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 МКУ ДО «РДШИ им. М.А. Балакирева»;</w:t>
      </w:r>
    </w:p>
    <w:p w14:paraId="622ADDC3">
      <w:p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 МКУ «Централизованная бухгалтерия управления культуры и кинофикации»;</w:t>
      </w:r>
    </w:p>
    <w:p w14:paraId="366655AC">
      <w:pPr>
        <w:suppressAutoHyphens/>
        <w:autoSpaceDE w:val="0"/>
        <w:spacing w:after="72" w:afterLines="30" w:line="240" w:lineRule="auto"/>
        <w:jc w:val="both"/>
        <w:rPr>
          <w:rFonts w:ascii="Times New Roman" w:hAnsi="Times New Roman" w:eastAsia="Times New Roman" w:cs="Times New Roman"/>
          <w:sz w:val="24"/>
          <w:szCs w:val="24"/>
          <w:lang w:eastAsia="zh-CN"/>
        </w:rPr>
      </w:pPr>
      <w:r>
        <w:rPr>
          <w:rFonts w:ascii="Times New Roman" w:hAnsi="Times New Roman"/>
          <w:bCs/>
          <w:sz w:val="24"/>
          <w:szCs w:val="24"/>
        </w:rPr>
        <w:t>- МБУ по кинообслуживанию населения г. Ахтубинска и Ахтубинского района.</w:t>
      </w:r>
    </w:p>
    <w:p w14:paraId="36228CBF">
      <w:pPr>
        <w:widowControl w:val="0"/>
        <w:suppressAutoHyphens/>
        <w:overflowPunct w:val="0"/>
        <w:spacing w:after="6"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Управлению культуры </w:t>
      </w:r>
      <w:r>
        <w:rPr>
          <w:rFonts w:ascii="Times New Roman" w:hAnsi="Times New Roman" w:eastAsia="Times New Roman" w:cs="Times New Roman"/>
          <w:sz w:val="24"/>
          <w:szCs w:val="24"/>
          <w:lang w:eastAsia="ru-RU"/>
        </w:rPr>
        <w:t xml:space="preserve">открыты лицевые счета в </w:t>
      </w:r>
      <w:r>
        <w:rPr>
          <w:rFonts w:ascii="Times New Roman" w:hAnsi="Times New Roman" w:eastAsia="Times New Roman"/>
          <w:sz w:val="24"/>
          <w:szCs w:val="24"/>
          <w:lang w:eastAsia="ru-RU"/>
        </w:rPr>
        <w:t>Территориальном отделе №9 Управления Федерального казначейства по Астраханской области</w:t>
      </w:r>
      <w:r>
        <w:rPr>
          <w:rFonts w:ascii="Times New Roman" w:hAnsi="Times New Roman" w:eastAsia="Times New Roman" w:cs="Times New Roman"/>
          <w:sz w:val="24"/>
          <w:szCs w:val="24"/>
          <w:lang w:eastAsia="ru-RU"/>
        </w:rPr>
        <w:t>, действующие в проверяемом периоде и на момент проверки:</w:t>
      </w:r>
    </w:p>
    <w:p w14:paraId="1950D016">
      <w:pPr>
        <w:widowControl w:val="0"/>
        <w:suppressAutoHyphens/>
        <w:overflowPunct w:val="0"/>
        <w:spacing w:after="0" w:line="240" w:lineRule="auto"/>
        <w:ind w:firstLine="709"/>
        <w:jc w:val="righ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Таблица</w:t>
      </w:r>
      <w:r>
        <w:rPr>
          <w:rFonts w:ascii="Times New Roman" w:hAnsi="Times New Roman" w:eastAsia="Times New Roman" w:cs="Times New Roman"/>
          <w:sz w:val="24"/>
          <w:szCs w:val="24"/>
          <w:lang w:val="en-US" w:eastAsia="ru-RU"/>
        </w:rPr>
        <w:t xml:space="preserve"> №1</w:t>
      </w:r>
    </w:p>
    <w:tbl>
      <w:tblPr>
        <w:tblStyle w:val="4"/>
        <w:tblW w:w="10058" w:type="dxa"/>
        <w:jc w:val="center"/>
        <w:tblLayout w:type="fixed"/>
        <w:tblCellMar>
          <w:top w:w="0" w:type="dxa"/>
          <w:left w:w="108" w:type="dxa"/>
          <w:bottom w:w="0" w:type="dxa"/>
          <w:right w:w="108" w:type="dxa"/>
        </w:tblCellMar>
      </w:tblPr>
      <w:tblGrid>
        <w:gridCol w:w="993"/>
        <w:gridCol w:w="2493"/>
        <w:gridCol w:w="6572"/>
      </w:tblGrid>
      <w:tr w14:paraId="66D5E538">
        <w:tblPrEx>
          <w:tblCellMar>
            <w:top w:w="0" w:type="dxa"/>
            <w:left w:w="108" w:type="dxa"/>
            <w:bottom w:w="0" w:type="dxa"/>
            <w:right w:w="108" w:type="dxa"/>
          </w:tblCellMar>
        </w:tblPrEx>
        <w:trPr>
          <w:cantSplit/>
          <w:jc w:val="center"/>
        </w:trPr>
        <w:tc>
          <w:tcPr>
            <w:tcW w:w="993" w:type="dxa"/>
            <w:tcBorders>
              <w:top w:val="single" w:color="000000" w:sz="4" w:space="0"/>
              <w:left w:val="single" w:color="000000" w:sz="4" w:space="0"/>
              <w:bottom w:val="single" w:color="000000" w:sz="4" w:space="0"/>
              <w:right w:val="nil"/>
            </w:tcBorders>
            <w:vAlign w:val="center"/>
          </w:tcPr>
          <w:p w14:paraId="17951B83">
            <w:pPr>
              <w:suppressAutoHyphens/>
              <w:spacing w:after="0" w:line="240" w:lineRule="auto"/>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 п/п</w:t>
            </w:r>
          </w:p>
        </w:tc>
        <w:tc>
          <w:tcPr>
            <w:tcW w:w="2493" w:type="dxa"/>
            <w:tcBorders>
              <w:top w:val="single" w:color="000000" w:sz="4" w:space="0"/>
              <w:left w:val="single" w:color="000000" w:sz="4" w:space="0"/>
              <w:bottom w:val="single" w:color="000000" w:sz="4" w:space="0"/>
              <w:right w:val="nil"/>
            </w:tcBorders>
            <w:vAlign w:val="center"/>
          </w:tcPr>
          <w:p w14:paraId="1BDBF8F8">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Номер лицевого счета</w:t>
            </w:r>
          </w:p>
        </w:tc>
        <w:tc>
          <w:tcPr>
            <w:tcW w:w="6572" w:type="dxa"/>
            <w:tcBorders>
              <w:top w:val="single" w:color="000000" w:sz="4" w:space="0"/>
              <w:left w:val="single" w:color="000000" w:sz="4" w:space="0"/>
              <w:bottom w:val="single" w:color="000000" w:sz="4" w:space="0"/>
              <w:right w:val="single" w:color="000000" w:sz="4" w:space="0"/>
            </w:tcBorders>
            <w:vAlign w:val="center"/>
          </w:tcPr>
          <w:p w14:paraId="76DEF97A">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Назначение счета</w:t>
            </w:r>
          </w:p>
        </w:tc>
      </w:tr>
      <w:tr w14:paraId="304F5B4F">
        <w:tblPrEx>
          <w:tblCellMar>
            <w:top w:w="0" w:type="dxa"/>
            <w:left w:w="108" w:type="dxa"/>
            <w:bottom w:w="0" w:type="dxa"/>
            <w:right w:w="108" w:type="dxa"/>
          </w:tblCellMar>
        </w:tblPrEx>
        <w:trPr>
          <w:cantSplit/>
          <w:trHeight w:val="295" w:hRule="atLeast"/>
          <w:jc w:val="center"/>
        </w:trPr>
        <w:tc>
          <w:tcPr>
            <w:tcW w:w="993" w:type="dxa"/>
            <w:tcBorders>
              <w:top w:val="single" w:color="000000" w:sz="4" w:space="0"/>
              <w:left w:val="single" w:color="000000" w:sz="4" w:space="0"/>
              <w:bottom w:val="single" w:color="000000" w:sz="4" w:space="0"/>
              <w:right w:val="nil"/>
            </w:tcBorders>
          </w:tcPr>
          <w:p w14:paraId="728DC662">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1.</w:t>
            </w:r>
          </w:p>
        </w:tc>
        <w:tc>
          <w:tcPr>
            <w:tcW w:w="2493" w:type="dxa"/>
            <w:tcBorders>
              <w:top w:val="single" w:color="000000" w:sz="4" w:space="0"/>
              <w:left w:val="single" w:color="000000" w:sz="4" w:space="0"/>
              <w:bottom w:val="single" w:color="000000" w:sz="4" w:space="0"/>
              <w:right w:val="nil"/>
            </w:tcBorders>
          </w:tcPr>
          <w:p w14:paraId="0AB6ED85">
            <w:pPr>
              <w:suppressAutoHyphens/>
              <w:spacing w:after="0" w:line="240" w:lineRule="auto"/>
              <w:rPr>
                <w:rFonts w:ascii="Times New Roman" w:hAnsi="Times New Roman" w:eastAsia="Calibri" w:cs="Times New Roman"/>
                <w:bCs/>
              </w:rPr>
            </w:pPr>
            <w:r>
              <w:rPr>
                <w:rFonts w:ascii="Times New Roman" w:hAnsi="Times New Roman" w:eastAsia="Calibri" w:cs="Times New Roman"/>
                <w:bCs/>
              </w:rPr>
              <w:t>01253</w:t>
            </w:r>
            <w:r>
              <w:rPr>
                <w:rFonts w:ascii="Times New Roman" w:hAnsi="Times New Roman" w:eastAsia="Calibri" w:cs="Times New Roman"/>
                <w:bCs/>
                <w:lang w:val="en-US"/>
              </w:rPr>
              <w:t>D</w:t>
            </w:r>
            <w:r>
              <w:rPr>
                <w:rFonts w:ascii="Times New Roman" w:hAnsi="Times New Roman" w:eastAsia="Calibri" w:cs="Times New Roman"/>
                <w:bCs/>
              </w:rPr>
              <w:t>04000</w:t>
            </w:r>
          </w:p>
        </w:tc>
        <w:tc>
          <w:tcPr>
            <w:tcW w:w="6572" w:type="dxa"/>
            <w:tcBorders>
              <w:top w:val="single" w:color="000000" w:sz="4" w:space="0"/>
              <w:left w:val="single" w:color="000000" w:sz="4" w:space="0"/>
              <w:bottom w:val="single" w:color="000000" w:sz="4" w:space="0"/>
              <w:right w:val="single" w:color="000000" w:sz="4" w:space="0"/>
            </w:tcBorders>
          </w:tcPr>
          <w:p w14:paraId="1DCC0836">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Лицевой счет ГРБС</w:t>
            </w:r>
          </w:p>
        </w:tc>
      </w:tr>
      <w:tr w14:paraId="69DE1FF3">
        <w:tblPrEx>
          <w:tblCellMar>
            <w:top w:w="0" w:type="dxa"/>
            <w:left w:w="108" w:type="dxa"/>
            <w:bottom w:w="0" w:type="dxa"/>
            <w:right w:w="108" w:type="dxa"/>
          </w:tblCellMar>
        </w:tblPrEx>
        <w:trPr>
          <w:cantSplit/>
          <w:jc w:val="center"/>
        </w:trPr>
        <w:tc>
          <w:tcPr>
            <w:tcW w:w="993" w:type="dxa"/>
            <w:tcBorders>
              <w:top w:val="single" w:color="000000" w:sz="4" w:space="0"/>
              <w:left w:val="single" w:color="000000" w:sz="4" w:space="0"/>
              <w:bottom w:val="single" w:color="000000" w:sz="4" w:space="0"/>
              <w:right w:val="nil"/>
            </w:tcBorders>
          </w:tcPr>
          <w:p w14:paraId="4678B0B8">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2.</w:t>
            </w:r>
          </w:p>
        </w:tc>
        <w:tc>
          <w:tcPr>
            <w:tcW w:w="2493" w:type="dxa"/>
            <w:tcBorders>
              <w:top w:val="single" w:color="000000" w:sz="4" w:space="0"/>
              <w:left w:val="single" w:color="000000" w:sz="4" w:space="0"/>
              <w:bottom w:val="single" w:color="000000" w:sz="4" w:space="0"/>
              <w:right w:val="nil"/>
            </w:tcBorders>
          </w:tcPr>
          <w:p w14:paraId="401AC205">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03</w:t>
            </w:r>
            <w:r>
              <w:rPr>
                <w:rFonts w:ascii="Times New Roman" w:hAnsi="Times New Roman" w:eastAsia="Calibri" w:cs="Times New Roman"/>
                <w:bCs/>
              </w:rPr>
              <w:t>253</w:t>
            </w:r>
            <w:r>
              <w:rPr>
                <w:rFonts w:ascii="Times New Roman" w:hAnsi="Times New Roman" w:eastAsia="Calibri" w:cs="Times New Roman"/>
                <w:bCs/>
                <w:lang w:val="en-US"/>
              </w:rPr>
              <w:t>D</w:t>
            </w:r>
            <w:r>
              <w:rPr>
                <w:rFonts w:ascii="Times New Roman" w:hAnsi="Times New Roman" w:eastAsia="Calibri" w:cs="Times New Roman"/>
                <w:bCs/>
              </w:rPr>
              <w:t>04000</w:t>
            </w:r>
          </w:p>
        </w:tc>
        <w:tc>
          <w:tcPr>
            <w:tcW w:w="6572" w:type="dxa"/>
            <w:tcBorders>
              <w:top w:val="single" w:color="000000" w:sz="4" w:space="0"/>
              <w:left w:val="single" w:color="000000" w:sz="4" w:space="0"/>
              <w:bottom w:val="single" w:color="000000" w:sz="4" w:space="0"/>
              <w:right w:val="single" w:color="000000" w:sz="4" w:space="0"/>
            </w:tcBorders>
          </w:tcPr>
          <w:p w14:paraId="4D0BDB81">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Лицевой счет ПБС</w:t>
            </w:r>
          </w:p>
        </w:tc>
      </w:tr>
      <w:tr w14:paraId="610DCDFE">
        <w:tblPrEx>
          <w:tblCellMar>
            <w:top w:w="0" w:type="dxa"/>
            <w:left w:w="108" w:type="dxa"/>
            <w:bottom w:w="0" w:type="dxa"/>
            <w:right w:w="108" w:type="dxa"/>
          </w:tblCellMar>
        </w:tblPrEx>
        <w:trPr>
          <w:cantSplit/>
          <w:jc w:val="center"/>
        </w:trPr>
        <w:tc>
          <w:tcPr>
            <w:tcW w:w="993" w:type="dxa"/>
            <w:tcBorders>
              <w:top w:val="single" w:color="000000" w:sz="4" w:space="0"/>
              <w:left w:val="single" w:color="000000" w:sz="4" w:space="0"/>
              <w:bottom w:val="single" w:color="000000" w:sz="4" w:space="0"/>
              <w:right w:val="nil"/>
            </w:tcBorders>
          </w:tcPr>
          <w:p w14:paraId="1345E34C">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3.</w:t>
            </w:r>
          </w:p>
        </w:tc>
        <w:tc>
          <w:tcPr>
            <w:tcW w:w="2493" w:type="dxa"/>
            <w:tcBorders>
              <w:top w:val="single" w:color="000000" w:sz="4" w:space="0"/>
              <w:left w:val="single" w:color="000000" w:sz="4" w:space="0"/>
              <w:bottom w:val="single" w:color="000000" w:sz="4" w:space="0"/>
              <w:right w:val="nil"/>
            </w:tcBorders>
          </w:tcPr>
          <w:p w14:paraId="56EB406A">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04</w:t>
            </w:r>
            <w:r>
              <w:rPr>
                <w:rFonts w:ascii="Times New Roman" w:hAnsi="Times New Roman" w:eastAsia="Calibri" w:cs="Times New Roman"/>
                <w:bCs/>
              </w:rPr>
              <w:t>253</w:t>
            </w:r>
            <w:r>
              <w:rPr>
                <w:rFonts w:ascii="Times New Roman" w:hAnsi="Times New Roman" w:eastAsia="Calibri" w:cs="Times New Roman"/>
                <w:bCs/>
                <w:lang w:val="en-US"/>
              </w:rPr>
              <w:t>D</w:t>
            </w:r>
            <w:r>
              <w:rPr>
                <w:rFonts w:ascii="Times New Roman" w:hAnsi="Times New Roman" w:eastAsia="Calibri" w:cs="Times New Roman"/>
                <w:bCs/>
              </w:rPr>
              <w:t>04000</w:t>
            </w:r>
          </w:p>
        </w:tc>
        <w:tc>
          <w:tcPr>
            <w:tcW w:w="6572" w:type="dxa"/>
            <w:tcBorders>
              <w:top w:val="single" w:color="000000" w:sz="4" w:space="0"/>
              <w:left w:val="single" w:color="000000" w:sz="4" w:space="0"/>
              <w:bottom w:val="single" w:color="000000" w:sz="4" w:space="0"/>
              <w:right w:val="single" w:color="000000" w:sz="4" w:space="0"/>
            </w:tcBorders>
          </w:tcPr>
          <w:p w14:paraId="03CEFB0A">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Лицевой счет администратора доходов бюджета</w:t>
            </w:r>
          </w:p>
        </w:tc>
      </w:tr>
    </w:tbl>
    <w:p w14:paraId="04309BD4">
      <w:pPr>
        <w:widowControl w:val="0"/>
        <w:suppressAutoHyphens/>
        <w:overflowPunct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Ответственными должностными лицами за финансово-хозяйственную деятельность Управления культуры в проверяемом периоде являлись с правом:</w:t>
      </w:r>
    </w:p>
    <w:p w14:paraId="233BD4F7">
      <w:pPr>
        <w:pStyle w:val="10"/>
        <w:spacing w:before="0" w:beforeAutospacing="0" w:afterAutospacing="0"/>
        <w:jc w:val="both"/>
        <w:rPr>
          <w:i/>
          <w:iCs/>
        </w:rPr>
      </w:pPr>
      <w:r>
        <w:rPr>
          <w:i/>
          <w:iCs/>
        </w:rPr>
        <w:t>первой подписи:</w:t>
      </w:r>
    </w:p>
    <w:p w14:paraId="53A48BEA">
      <w:pPr>
        <w:pStyle w:val="10"/>
        <w:spacing w:before="0" w:beforeAutospacing="0" w:afterAutospacing="0"/>
        <w:jc w:val="both"/>
      </w:pPr>
      <w:r>
        <w:t>- Начальник управления культуры и кинофикации - Долина Оксана Николаевна, назначена на должность с 02.07.2020г. по настоящее время (распоряжение Администрации МО «Ахтубинский район» от 02.07.2020 №190 л/с);</w:t>
      </w:r>
    </w:p>
    <w:p w14:paraId="3B32CE8C">
      <w:pPr>
        <w:pStyle w:val="10"/>
        <w:spacing w:before="0" w:beforeAutospacing="0" w:afterAutospacing="0"/>
        <w:jc w:val="both"/>
        <w:rPr>
          <w:i/>
          <w:iCs/>
        </w:rPr>
      </w:pPr>
      <w:r>
        <w:rPr>
          <w:i/>
          <w:iCs/>
        </w:rPr>
        <w:t>второй подписи:</w:t>
      </w:r>
    </w:p>
    <w:p w14:paraId="12712045">
      <w:pPr>
        <w:pStyle w:val="10"/>
        <w:spacing w:before="0" w:beforeAutospacing="0" w:afterAutospacing="0"/>
        <w:jc w:val="both"/>
      </w:pPr>
      <w:r>
        <w:t>- Директор - главный бухгалтер МКУ «Централизованная бухгалтерия управления культуры и кинофикации» – Книжникова Татьяна Павловна, назначена на должность с 31.05.2022г. по настоящее время (приказ Управления культуры и кинофикации от 31.05.2022 №27-к).</w:t>
      </w:r>
    </w:p>
    <w:p w14:paraId="66EF03DF">
      <w:pPr>
        <w:pStyle w:val="10"/>
        <w:spacing w:before="0" w:beforeAutospacing="0" w:after="0" w:afterAutospacing="0"/>
        <w:ind w:firstLine="709"/>
        <w:jc w:val="both"/>
        <w:rPr>
          <w:lang w:eastAsia="zh-CN"/>
        </w:rPr>
      </w:pPr>
      <w:r>
        <w:rPr>
          <w:lang w:eastAsia="zh-CN"/>
        </w:rPr>
        <w:t>В соответствии со ст. 264.4 БК РФ, п.3.3. Порядка от 16.03.2017 № 295 для ГРБС установлен срок представления годовой отчетности не позднее 20 марта текущего финансового года.</w:t>
      </w:r>
    </w:p>
    <w:p w14:paraId="0CA7D37D">
      <w:pPr>
        <w:widowControl w:val="0"/>
        <w:suppressAutoHyphens/>
        <w:overflowPunct w:val="0"/>
        <w:spacing w:after="72" w:afterLines="30" w:line="240"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Бюджетная отчетность за 2024 год направлена в адрес КСП МО «Ахтубинский район» в соответствии с установленным сроком (письмо от 19.03.2025 г. исх. № 226).</w:t>
      </w:r>
    </w:p>
    <w:p w14:paraId="373B86E2">
      <w:pPr>
        <w:pStyle w:val="15"/>
        <w:numPr>
          <w:ilvl w:val="0"/>
          <w:numId w:val="2"/>
        </w:num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Предоставление годовой бюджетной отчетности</w:t>
      </w:r>
    </w:p>
    <w:p w14:paraId="50FBF28C">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Проверка комплектности, соответствия и полноты информации бюджетной отчетности проведена в соответствии с требованиями Инструкции № 191н. </w:t>
      </w:r>
    </w:p>
    <w:p w14:paraId="3B68682E">
      <w:pPr>
        <w:pStyle w:val="15"/>
        <w:tabs>
          <w:tab w:val="left" w:pos="567"/>
        </w:tabs>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В соответствии с п.11.1, п.59.1, п.70.1 Инструкции №191н представлена следующая бюджетная отчетность</w:t>
      </w:r>
      <w:r>
        <w:rPr>
          <w:rFonts w:ascii="Times New Roman" w:hAnsi="Times New Roman" w:cs="Times New Roman"/>
          <w:sz w:val="24"/>
          <w:szCs w:val="24"/>
        </w:rPr>
        <w:t>:</w:t>
      </w:r>
    </w:p>
    <w:p w14:paraId="12A8F425">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1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7726"/>
        <w:gridCol w:w="1711"/>
      </w:tblGrid>
      <w:tr w14:paraId="232D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01FF29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726" w:type="dxa"/>
            <w:vAlign w:val="center"/>
          </w:tcPr>
          <w:p w14:paraId="4BC029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711" w:type="dxa"/>
            <w:vAlign w:val="center"/>
          </w:tcPr>
          <w:p w14:paraId="64AAB4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w:t>
            </w:r>
          </w:p>
        </w:tc>
      </w:tr>
      <w:tr w14:paraId="1AB7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78EE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26" w:type="dxa"/>
            <w:vAlign w:val="center"/>
          </w:tcPr>
          <w:p w14:paraId="6DECE0D2">
            <w:pPr>
              <w:spacing w:after="0" w:line="240" w:lineRule="auto"/>
              <w:rPr>
                <w:rFonts w:ascii="Times New Roman" w:hAnsi="Times New Roman" w:cs="Times New Roman"/>
                <w:sz w:val="24"/>
                <w:szCs w:val="24"/>
              </w:rPr>
            </w:pPr>
            <w:r>
              <w:rPr>
                <w:rFonts w:ascii="Times New Roman" w:hAnsi="Times New Roman" w:cs="Times New Roman"/>
                <w:sz w:val="24"/>
                <w:szCs w:val="24"/>
              </w:rPr>
              <w:t>Баланс</w:t>
            </w:r>
          </w:p>
        </w:tc>
        <w:tc>
          <w:tcPr>
            <w:tcW w:w="1711" w:type="dxa"/>
            <w:vAlign w:val="center"/>
          </w:tcPr>
          <w:p w14:paraId="74DE77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ф.0503130</w:t>
            </w:r>
          </w:p>
        </w:tc>
      </w:tr>
      <w:tr w14:paraId="4DE8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16681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26" w:type="dxa"/>
            <w:vAlign w:val="center"/>
          </w:tcPr>
          <w:p w14:paraId="7786CC16">
            <w:pPr>
              <w:spacing w:after="0" w:line="240" w:lineRule="auto"/>
              <w:rPr>
                <w:rFonts w:ascii="Times New Roman" w:hAnsi="Times New Roman" w:cs="Times New Roman"/>
                <w:sz w:val="24"/>
                <w:szCs w:val="24"/>
              </w:rPr>
            </w:pPr>
            <w:r>
              <w:rPr>
                <w:rFonts w:ascii="Times New Roman" w:hAnsi="Times New Roman" w:cs="Times New Roman"/>
                <w:sz w:val="24"/>
                <w:szCs w:val="24"/>
              </w:rPr>
              <w:t>Справка по консолидируемым расчетам</w:t>
            </w:r>
          </w:p>
        </w:tc>
        <w:tc>
          <w:tcPr>
            <w:tcW w:w="1711" w:type="dxa"/>
            <w:vAlign w:val="center"/>
          </w:tcPr>
          <w:p w14:paraId="582FD1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ф.0503125</w:t>
            </w:r>
          </w:p>
        </w:tc>
      </w:tr>
      <w:tr w14:paraId="54F6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297988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26" w:type="dxa"/>
            <w:vAlign w:val="center"/>
          </w:tcPr>
          <w:p w14:paraId="6B68CA6B">
            <w:pPr>
              <w:spacing w:after="0" w:line="240" w:lineRule="auto"/>
              <w:rPr>
                <w:rFonts w:ascii="Times New Roman" w:hAnsi="Times New Roman" w:cs="Times New Roman"/>
                <w:sz w:val="24"/>
                <w:szCs w:val="24"/>
              </w:rPr>
            </w:pPr>
            <w:r>
              <w:rPr>
                <w:rFonts w:ascii="Times New Roman" w:hAnsi="Times New Roman" w:cs="Times New Roman"/>
                <w:sz w:val="24"/>
                <w:szCs w:val="24"/>
              </w:rPr>
              <w:t>Справка по заключению счетов бюджетного учета отчетного финансового года</w:t>
            </w:r>
          </w:p>
        </w:tc>
        <w:tc>
          <w:tcPr>
            <w:tcW w:w="1711" w:type="dxa"/>
            <w:vAlign w:val="center"/>
          </w:tcPr>
          <w:p w14:paraId="4A93EE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ф.0503110</w:t>
            </w:r>
          </w:p>
        </w:tc>
      </w:tr>
      <w:tr w14:paraId="2D7E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25431D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26" w:type="dxa"/>
            <w:vAlign w:val="center"/>
          </w:tcPr>
          <w:p w14:paraId="2BF66A02">
            <w:pPr>
              <w:spacing w:after="0" w:line="240" w:lineRule="auto"/>
              <w:rPr>
                <w:rFonts w:ascii="Times New Roman" w:hAnsi="Times New Roman" w:cs="Times New Roman"/>
                <w:sz w:val="24"/>
                <w:szCs w:val="24"/>
              </w:rPr>
            </w:pPr>
            <w:r>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(ГРБС)</w:t>
            </w:r>
          </w:p>
        </w:tc>
        <w:tc>
          <w:tcPr>
            <w:tcW w:w="1711" w:type="dxa"/>
            <w:vAlign w:val="center"/>
          </w:tcPr>
          <w:p w14:paraId="6E8A0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ф.0503127</w:t>
            </w:r>
          </w:p>
        </w:tc>
      </w:tr>
      <w:tr w14:paraId="2DCB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6A3451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26" w:type="dxa"/>
            <w:vAlign w:val="center"/>
          </w:tcPr>
          <w:p w14:paraId="28B0F5C1">
            <w:pPr>
              <w:spacing w:after="0" w:line="240" w:lineRule="auto"/>
              <w:rPr>
                <w:rFonts w:ascii="Times New Roman" w:hAnsi="Times New Roman" w:cs="Times New Roman"/>
                <w:sz w:val="24"/>
                <w:szCs w:val="24"/>
              </w:rPr>
            </w:pPr>
            <w:r>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(ПБС)</w:t>
            </w:r>
          </w:p>
        </w:tc>
        <w:tc>
          <w:tcPr>
            <w:tcW w:w="1711" w:type="dxa"/>
            <w:vAlign w:val="center"/>
          </w:tcPr>
          <w:p w14:paraId="6AEA7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ф.0503127</w:t>
            </w:r>
          </w:p>
        </w:tc>
      </w:tr>
      <w:tr w14:paraId="670A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5BEA3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726" w:type="dxa"/>
            <w:vAlign w:val="center"/>
          </w:tcPr>
          <w:p w14:paraId="2A03C11D">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бюджетных обязательствах (ГРБС)</w:t>
            </w:r>
          </w:p>
        </w:tc>
        <w:tc>
          <w:tcPr>
            <w:tcW w:w="1711" w:type="dxa"/>
            <w:vAlign w:val="center"/>
          </w:tcPr>
          <w:p w14:paraId="77EED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ф.0503128</w:t>
            </w:r>
          </w:p>
        </w:tc>
      </w:tr>
      <w:tr w14:paraId="43E9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50E067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726" w:type="dxa"/>
            <w:vAlign w:val="center"/>
          </w:tcPr>
          <w:p w14:paraId="4D319EC9">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бюджетных назначениях (ПБС)</w:t>
            </w:r>
          </w:p>
        </w:tc>
        <w:tc>
          <w:tcPr>
            <w:tcW w:w="1711" w:type="dxa"/>
            <w:vAlign w:val="center"/>
          </w:tcPr>
          <w:p w14:paraId="02763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ф.0503128</w:t>
            </w:r>
          </w:p>
        </w:tc>
      </w:tr>
      <w:tr w14:paraId="7E8B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037388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726" w:type="dxa"/>
            <w:vAlign w:val="center"/>
          </w:tcPr>
          <w:p w14:paraId="05B550E4">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деятельности</w:t>
            </w:r>
          </w:p>
        </w:tc>
        <w:tc>
          <w:tcPr>
            <w:tcW w:w="1711" w:type="dxa"/>
            <w:vAlign w:val="center"/>
          </w:tcPr>
          <w:p w14:paraId="3FD0A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ф.0503121</w:t>
            </w:r>
          </w:p>
        </w:tc>
      </w:tr>
      <w:tr w14:paraId="7177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34C05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726" w:type="dxa"/>
            <w:vAlign w:val="center"/>
          </w:tcPr>
          <w:p w14:paraId="6CE66436">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движении денежных средств</w:t>
            </w:r>
          </w:p>
        </w:tc>
        <w:tc>
          <w:tcPr>
            <w:tcW w:w="1711" w:type="dxa"/>
            <w:vAlign w:val="center"/>
          </w:tcPr>
          <w:p w14:paraId="7E458C33">
            <w:pPr>
              <w:spacing w:after="0" w:line="240" w:lineRule="auto"/>
              <w:jc w:val="center"/>
              <w:rPr>
                <w:rFonts w:ascii="Times New Roman" w:hAnsi="Times New Roman" w:cs="Times New Roman"/>
                <w:sz w:val="24"/>
                <w:szCs w:val="24"/>
              </w:rPr>
            </w:pPr>
            <w:r>
              <w:fldChar w:fldCharType="begin"/>
            </w:r>
            <w:r>
              <w:instrText xml:space="preserve"> HYPERLINK "consultantplus://offline/ref=866B7735309E47EE23AA00AC4214A1F2B97FFF0A08BEA69DFC7B609C652D3BC02865D8F8467701640A393B50B260736D7AEDB1DFE2730F67W6o3F" </w:instrText>
            </w:r>
            <w:r>
              <w:fldChar w:fldCharType="separate"/>
            </w:r>
            <w:r>
              <w:rPr>
                <w:rFonts w:ascii="Times New Roman" w:hAnsi="Times New Roman" w:cs="Times New Roman"/>
                <w:sz w:val="24"/>
                <w:szCs w:val="24"/>
              </w:rPr>
              <w:t>ф.0503123</w:t>
            </w:r>
            <w:r>
              <w:rPr>
                <w:rFonts w:ascii="Times New Roman" w:hAnsi="Times New Roman" w:cs="Times New Roman"/>
                <w:sz w:val="24"/>
                <w:szCs w:val="24"/>
              </w:rPr>
              <w:fldChar w:fldCharType="end"/>
            </w:r>
          </w:p>
        </w:tc>
      </w:tr>
      <w:tr w14:paraId="2C81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0533FA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726" w:type="dxa"/>
            <w:vAlign w:val="center"/>
          </w:tcPr>
          <w:p w14:paraId="3005806F">
            <w:pPr>
              <w:spacing w:after="0" w:line="240"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711" w:type="dxa"/>
            <w:vAlign w:val="center"/>
          </w:tcPr>
          <w:p w14:paraId="6216A1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ф.0503160</w:t>
            </w:r>
          </w:p>
        </w:tc>
      </w:tr>
    </w:tbl>
    <w:p w14:paraId="285D77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сводной пояснительной записке (ф.0503160) представлены следующие таблицы и приложения:</w:t>
      </w:r>
    </w:p>
    <w:p w14:paraId="49A98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Таблица №4 «Сведения об основных положениях учетной политики»;</w:t>
      </w:r>
    </w:p>
    <w:p w14:paraId="3643AF49">
      <w:pPr>
        <w:spacing w:after="0" w:line="240" w:lineRule="auto"/>
        <w:jc w:val="both"/>
        <w:rPr>
          <w:rFonts w:ascii="Times New Roman" w:hAnsi="Times New Roman"/>
          <w:sz w:val="24"/>
          <w:szCs w:val="24"/>
        </w:rPr>
      </w:pPr>
      <w:r>
        <w:rPr>
          <w:rFonts w:ascii="Times New Roman" w:hAnsi="Times New Roman"/>
          <w:sz w:val="24"/>
          <w:szCs w:val="24"/>
        </w:rPr>
        <w:t>- Таблица №11 «Сведения об организационной структуре субъекта бюджетной отчетности»;</w:t>
      </w:r>
    </w:p>
    <w:p w14:paraId="7B5A44CA">
      <w:pPr>
        <w:spacing w:after="0" w:line="240" w:lineRule="auto"/>
        <w:jc w:val="both"/>
        <w:rPr>
          <w:rFonts w:ascii="Times New Roman" w:hAnsi="Times New Roman"/>
          <w:sz w:val="24"/>
          <w:szCs w:val="24"/>
        </w:rPr>
      </w:pPr>
      <w:r>
        <w:rPr>
          <w:rFonts w:ascii="Times New Roman" w:hAnsi="Times New Roman" w:cs="Times New Roman"/>
          <w:sz w:val="24"/>
          <w:szCs w:val="24"/>
        </w:rPr>
        <w:t>- Таблица №12 «</w:t>
      </w:r>
      <w:r>
        <w:rPr>
          <w:rFonts w:ascii="Times New Roman" w:hAnsi="Times New Roman"/>
          <w:sz w:val="24"/>
          <w:szCs w:val="24"/>
        </w:rPr>
        <w:t>Сведения о результатах деятельности субъекта бюджетной отчетности»;</w:t>
      </w:r>
    </w:p>
    <w:p w14:paraId="7A7BE424">
      <w:pPr>
        <w:spacing w:after="0" w:line="240" w:lineRule="auto"/>
        <w:jc w:val="both"/>
        <w:rPr>
          <w:rFonts w:ascii="Times New Roman" w:hAnsi="Times New Roman"/>
          <w:sz w:val="24"/>
          <w:szCs w:val="24"/>
        </w:rPr>
      </w:pPr>
      <w:r>
        <w:rPr>
          <w:rFonts w:ascii="Times New Roman" w:hAnsi="Times New Roman"/>
          <w:sz w:val="24"/>
          <w:szCs w:val="24"/>
        </w:rPr>
        <w:t>- Таблица №14 «Анализ показателей отчетности субъекта бюджетной отчетности»;</w:t>
      </w:r>
    </w:p>
    <w:p w14:paraId="0252E4F9">
      <w:pPr>
        <w:spacing w:after="0" w:line="240" w:lineRule="auto"/>
        <w:jc w:val="both"/>
        <w:rPr>
          <w:rFonts w:ascii="Times New Roman" w:hAnsi="Times New Roman"/>
          <w:sz w:val="24"/>
          <w:szCs w:val="24"/>
        </w:rPr>
      </w:pPr>
      <w:r>
        <w:rPr>
          <w:rFonts w:ascii="Times New Roman" w:hAnsi="Times New Roman"/>
          <w:sz w:val="24"/>
          <w:szCs w:val="24"/>
        </w:rPr>
        <w:t>- Таблица №16 «Прочие вопросы деятельности субъекта бюджетной отчетности»;</w:t>
      </w:r>
    </w:p>
    <w:p w14:paraId="76D0D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об исполнении бюджета» (ф.0503164);</w:t>
      </w:r>
    </w:p>
    <w:p w14:paraId="354A8E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 движении нефинансовых активов» (ф.0503168);</w:t>
      </w:r>
    </w:p>
    <w:p w14:paraId="0F767A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по дебиторской и кредиторской задолженности» (ф.0503169);</w:t>
      </w:r>
    </w:p>
    <w:p w14:paraId="0402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«Сведения о финансовых вложениях получателя бюджетных средств, </w:t>
      </w:r>
      <w:r>
        <w:rPr>
          <w:rFonts w:ascii="Times New Roman" w:hAnsi="Times New Roman" w:eastAsia="Times New Roman"/>
          <w:sz w:val="24"/>
          <w:szCs w:val="24"/>
        </w:rPr>
        <w:t>администратора источников финансирования дефицита бюджета</w:t>
      </w:r>
      <w:r>
        <w:rPr>
          <w:rFonts w:ascii="Times New Roman" w:hAnsi="Times New Roman" w:cs="Times New Roman"/>
          <w:sz w:val="24"/>
          <w:szCs w:val="24"/>
        </w:rPr>
        <w:t>» (ф.0503171);</w:t>
      </w:r>
    </w:p>
    <w:p w14:paraId="203A0C48">
      <w:pPr>
        <w:spacing w:after="0" w:line="240" w:lineRule="auto"/>
        <w:rPr>
          <w:rFonts w:ascii="Times New Roman" w:hAnsi="Times New Roman"/>
          <w:sz w:val="24"/>
          <w:szCs w:val="24"/>
        </w:rPr>
      </w:pPr>
      <w:r>
        <w:rPr>
          <w:rFonts w:ascii="Times New Roman" w:hAnsi="Times New Roman" w:cs="Times New Roman"/>
          <w:sz w:val="24"/>
          <w:szCs w:val="24"/>
        </w:rPr>
        <w:t>- «</w:t>
      </w:r>
      <w:r>
        <w:rPr>
          <w:rFonts w:ascii="Times New Roman" w:hAnsi="Times New Roman"/>
          <w:sz w:val="24"/>
          <w:szCs w:val="24"/>
        </w:rPr>
        <w:t>Сведения об изменении остатков валюты баланса» (ф.0503173);</w:t>
      </w:r>
    </w:p>
    <w:p w14:paraId="180C29A1">
      <w:pPr>
        <w:spacing w:after="0" w:line="240" w:lineRule="auto"/>
        <w:rPr>
          <w:rFonts w:ascii="Times New Roman" w:hAnsi="Times New Roman" w:cs="Times New Roman"/>
          <w:sz w:val="24"/>
          <w:szCs w:val="24"/>
        </w:rPr>
      </w:pPr>
      <w:r>
        <w:rPr>
          <w:rFonts w:ascii="Times New Roman" w:hAnsi="Times New Roman" w:cs="Times New Roman"/>
          <w:sz w:val="24"/>
          <w:szCs w:val="24"/>
        </w:rPr>
        <w:t>- «Сведения о принятых и неисполненных обязательствах получателя бюджетных средств» (ф.0503175);</w:t>
      </w:r>
    </w:p>
    <w:p w14:paraId="1CB61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об остатках денежных средств на счетах получателя бюджетных средств» (средства во временном распоряжении) (ф.0503178);</w:t>
      </w:r>
    </w:p>
    <w:p w14:paraId="4D7DF86D">
      <w:pPr>
        <w:spacing w:after="72" w:afterLines="30" w:line="240" w:lineRule="auto"/>
        <w:jc w:val="both"/>
        <w:rPr>
          <w:rFonts w:ascii="Times New Roman" w:hAnsi="Times New Roman" w:cs="Times New Roman"/>
          <w:sz w:val="24"/>
          <w:szCs w:val="24"/>
        </w:rPr>
      </w:pPr>
      <w:r>
        <w:rPr>
          <w:rFonts w:ascii="Times New Roman" w:hAnsi="Times New Roman" w:cs="Times New Roman"/>
          <w:sz w:val="24"/>
          <w:szCs w:val="24"/>
        </w:rPr>
        <w:t>- «С</w:t>
      </w:r>
      <w:r>
        <w:rPr>
          <w:rFonts w:ascii="Times New Roman" w:hAnsi="Times New Roman"/>
          <w:sz w:val="24"/>
          <w:szCs w:val="24"/>
        </w:rPr>
        <w:t>ведения об исполнении судебных решений по денежным обязательствам»</w:t>
      </w:r>
      <w:r>
        <w:rPr>
          <w:rFonts w:ascii="Times New Roman" w:hAnsi="Times New Roman" w:cs="Times New Roman"/>
          <w:sz w:val="24"/>
          <w:szCs w:val="24"/>
        </w:rPr>
        <w:t xml:space="preserve"> (ф.0503296).</w:t>
      </w:r>
    </w:p>
    <w:p w14:paraId="3287077F">
      <w:pPr>
        <w:spacing w:after="72" w:afterLines="30" w:line="240" w:lineRule="auto"/>
        <w:ind w:firstLine="567"/>
        <w:jc w:val="both"/>
        <w:rPr>
          <w:rFonts w:ascii="Times New Roman" w:hAnsi="Times New Roman"/>
          <w:bCs/>
          <w:sz w:val="24"/>
          <w:szCs w:val="24"/>
        </w:rPr>
      </w:pPr>
      <w:r>
        <w:rPr>
          <w:rFonts w:ascii="Times New Roman" w:hAnsi="Times New Roman" w:cs="Times New Roman"/>
          <w:sz w:val="24"/>
          <w:szCs w:val="24"/>
        </w:rPr>
        <w:t xml:space="preserve">Дополнительно предоставлены: </w:t>
      </w:r>
      <w:r>
        <w:rPr>
          <w:rFonts w:ascii="Times New Roman" w:hAnsi="Times New Roman" w:cs="Times New Roman"/>
          <w:bCs/>
          <w:sz w:val="24"/>
          <w:szCs w:val="24"/>
        </w:rPr>
        <w:t xml:space="preserve">Главные книги за 2024 год Управления культуры, </w:t>
      </w:r>
      <w:r>
        <w:rPr>
          <w:rFonts w:ascii="Times New Roman" w:hAnsi="Times New Roman"/>
          <w:bCs/>
          <w:sz w:val="24"/>
          <w:szCs w:val="24"/>
        </w:rPr>
        <w:t>МКУК «Межпоселенческая центральная библиотека», МКУК «Центр народной культуры», МКУК «Районный историко-краеведческий музей», МКУ «Хозяйственно-техническая служба», МКУ ДО «РДХШ №4 им. П.И. Котова», МКУ ДО «РДШИ им. М.А. Балакирева», МКУ «Централизованная бухгалтерия управления культуры и кинофикации»</w:t>
      </w:r>
      <w:r>
        <w:rPr>
          <w:rFonts w:ascii="Times New Roman" w:hAnsi="Times New Roman" w:cs="Times New Roman"/>
          <w:bCs/>
          <w:sz w:val="24"/>
          <w:szCs w:val="24"/>
        </w:rPr>
        <w:t xml:space="preserve"> и материалы по инвентаризации</w:t>
      </w:r>
      <w:r>
        <w:rPr>
          <w:rFonts w:ascii="Times New Roman" w:hAnsi="Times New Roman"/>
          <w:bCs/>
          <w:sz w:val="24"/>
          <w:szCs w:val="24"/>
        </w:rPr>
        <w:t>.</w:t>
      </w:r>
    </w:p>
    <w:p w14:paraId="58A3EB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исполнение п.4 Инструкции №191н бюджетная отчетность представлена на бумажном носителе в сброшюрованном и пронумерованном виде с оглавлением и сопроводительным письмом. Бюджетная отчетность содержит все формы отчетов (за исключением форм бюджетной отчетности, не имеющих числового значения) и подписана Директором - главным бухгалтером МКУ «Централизованная бухгалтерия управления культуры и кинофикации» Книжниковой Т.П. и руководителем Долиной О.Н. </w:t>
      </w:r>
    </w:p>
    <w:p w14:paraId="03D6AA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Бюджетная отчетность составлена нарастающим итогом с начала года в рублях с точностью до второго десятичного знака после запятой (п.9 Инструкции №191н).</w:t>
      </w:r>
    </w:p>
    <w:p w14:paraId="5441A4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Результаты проведения проверки выполнения контрольных соотношений между показателями форм бюджетной отчетности в автоматическом режиме подтверждены протоколом проверки междокументных контрольных соотношений с отметкой «проверка выполнена успешно».</w:t>
      </w:r>
    </w:p>
    <w:p w14:paraId="0B536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п.7 Инструкции №191н в целях составления годовой бюджетной отчетности проводится инвентаризация активов и обязательств в порядке, установленном экономическим субъектом в рамках формирования его учетной политики. В целях подтверждения показателей годовой бюджетной отчетности в соответствии с Решениями о проведении инвентаризации: от 01.11.2024 г. №0000-000004 </w:t>
      </w:r>
      <w:r>
        <w:rPr>
          <w:rFonts w:ascii="Times New Roman" w:hAnsi="Times New Roman"/>
          <w:bCs/>
          <w:sz w:val="24"/>
          <w:szCs w:val="24"/>
        </w:rPr>
        <w:t>МКУК «Межпоселенческая центральная библиотека», от 01.11.2024 г. №0000-000007 МКУК «Центр народной культуры», от 01.11.2024 г. №0000-000003 МКУК «Районный историко-краеведческий музей», от 01.11.2024 г. №0000-000004 МКУ «Хозяйственно-техническая служба», от 01.11.2024г. №0000-000003 МКУ ДО «РДХШ №4 им. П.И. Котова», от 01.11.2024г. №0000-000004 МКУ ДО «РДШИ им. М.А. Балакирева», от 01.11.2024 г. №0000-000003 МКУ «Централизованная бухгалтерия управления культуры и кинофикации», от 01.11.2024 г. №0000-000003</w:t>
      </w:r>
      <w:r>
        <w:rPr>
          <w:rFonts w:ascii="Times New Roman" w:hAnsi="Times New Roman" w:cs="Times New Roman"/>
          <w:sz w:val="24"/>
          <w:szCs w:val="24"/>
        </w:rPr>
        <w:t xml:space="preserve"> </w:t>
      </w:r>
      <w:r>
        <w:rPr>
          <w:rFonts w:ascii="Times New Roman" w:hAnsi="Times New Roman" w:cs="Times New Roman"/>
          <w:bCs/>
          <w:sz w:val="24"/>
          <w:szCs w:val="24"/>
        </w:rPr>
        <w:t xml:space="preserve">Управления культуры, </w:t>
      </w:r>
      <w:r>
        <w:rPr>
          <w:rFonts w:ascii="Times New Roman" w:hAnsi="Times New Roman" w:cs="Times New Roman"/>
          <w:sz w:val="24"/>
          <w:szCs w:val="24"/>
        </w:rPr>
        <w:t>проведена инвентаризация.</w:t>
      </w:r>
    </w:p>
    <w:p w14:paraId="22B698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инвентаризации расхождений между фактическим наличием активов и состоянием расчетов с данными бюджетного учета не выявлено.</w:t>
      </w:r>
    </w:p>
    <w:p w14:paraId="27D300FD">
      <w:pPr>
        <w:spacing w:after="0" w:line="240" w:lineRule="auto"/>
        <w:ind w:firstLine="709"/>
        <w:jc w:val="both"/>
        <w:rPr>
          <w:rFonts w:ascii="Times New Roman" w:hAnsi="Times New Roman" w:cs="Times New Roman"/>
          <w:sz w:val="16"/>
          <w:szCs w:val="16"/>
          <w:lang w:eastAsia="zh-CN"/>
        </w:rPr>
      </w:pPr>
    </w:p>
    <w:p w14:paraId="02905D23">
      <w:pPr>
        <w:numPr>
          <w:ilvl w:val="0"/>
          <w:numId w:val="2"/>
        </w:numPr>
        <w:spacing w:after="6" w:line="240" w:lineRule="auto"/>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Проверка правильности составления, ведения бюджетной росписи ГРБС</w:t>
      </w:r>
    </w:p>
    <w:p w14:paraId="0F1650CC">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В соответствии с п. 1 ст. 217, п. 1 ст. 219.1 БК РФ утвержден приказ Финансового управления от 31.12.2015 №44-с «Об утверждении Порядка составления и ведения сводной бюджетной росписи бюджета муниципального образования «Ахтубинский район» и бюджетных росписей главных распорядителей средств бюджета муниципального образования «Ахтубинский район» (главных администраторов источников финансирования дефицита бюджета муниципального образования «Ахтубинский район»), (далее - Порядок ведения бюджетной росписи).</w:t>
      </w:r>
    </w:p>
    <w:p w14:paraId="6BD6D0B8">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установленным Порядком ведения бюджетной росписи, бюджетные ассигнования по расходам на 2024 год утверждены решением Совета </w:t>
      </w:r>
      <w:r>
        <w:rPr>
          <w:rFonts w:ascii="Times New Roman" w:hAnsi="Times New Roman" w:cs="Times New Roman"/>
          <w:sz w:val="24"/>
          <w:szCs w:val="24"/>
        </w:rPr>
        <w:t xml:space="preserve">муниципального образования «Ахтубинский муниципальный район Астраханской области» от 12.12.2024 №38 «О внесении изменений в решение Совета муниципального образования «Ахтубинский муниципальный район Астраханской области» от 07.12.2023 №390 «О бюджете муниципального образования «Ахтубинский муниципальный район Астраханской области» на 2024 год и плановый период 2025-2026 годов» и </w:t>
      </w:r>
      <w:r>
        <w:rPr>
          <w:rFonts w:ascii="Times New Roman" w:hAnsi="Times New Roman"/>
          <w:sz w:val="24"/>
          <w:szCs w:val="24"/>
        </w:rPr>
        <w:t>сводной бюджетной росписью от 28.12.2024г</w:t>
      </w:r>
      <w:r>
        <w:rPr>
          <w:rFonts w:ascii="Times New Roman" w:hAnsi="Times New Roman" w:cs="Times New Roman"/>
          <w:sz w:val="24"/>
          <w:szCs w:val="24"/>
          <w:lang w:eastAsia="zh-CN"/>
        </w:rPr>
        <w:t xml:space="preserve">. </w:t>
      </w:r>
    </w:p>
    <w:p w14:paraId="0E048559">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требованиями Порядка ведения бюджетной росписи, бюджетные ассигнования по расходам утверждены в разрезе главных распорядителей средств бюджета, разделов, подразделов, целевых статей (муниципальных программ и непрограммных направлений деятельности), групп, подгрупп видов расходов классификации расходов бюджета. </w:t>
      </w:r>
    </w:p>
    <w:p w14:paraId="2005D647">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Показатели сводной бюджетной росписи главного распорядителя бюджетных средств представлены в таблице:</w:t>
      </w:r>
    </w:p>
    <w:p w14:paraId="0CF30EDE">
      <w:pPr>
        <w:wordWrap w:val="0"/>
        <w:spacing w:after="0" w:line="240" w:lineRule="auto"/>
        <w:ind w:firstLine="709"/>
        <w:jc w:val="right"/>
        <w:rPr>
          <w:rFonts w:ascii="Times New Roman" w:hAnsi="Times New Roman" w:cs="Times New Roman"/>
          <w:sz w:val="24"/>
          <w:szCs w:val="24"/>
          <w:lang w:eastAsia="zh-CN"/>
        </w:rPr>
      </w:pPr>
      <w:r>
        <w:rPr>
          <w:rFonts w:ascii="Times New Roman" w:hAnsi="Times New Roman" w:cs="Times New Roman"/>
          <w:sz w:val="24"/>
          <w:szCs w:val="24"/>
          <w:lang w:eastAsia="zh-CN"/>
        </w:rPr>
        <w:t>Таблица №3 (</w:t>
      </w:r>
      <w:r>
        <w:rPr>
          <w:rFonts w:ascii="Times New Roman" w:hAnsi="Times New Roman" w:cs="Times New Roman"/>
          <w:sz w:val="24"/>
          <w:szCs w:val="24"/>
          <w:lang w:val="ru-RU" w:eastAsia="zh-CN"/>
        </w:rPr>
        <w:t>руб.</w:t>
      </w:r>
      <w:r>
        <w:rPr>
          <w:rFonts w:ascii="Times New Roman" w:hAnsi="Times New Roman" w:cs="Times New Roman"/>
          <w:sz w:val="24"/>
          <w:szCs w:val="24"/>
          <w:lang w:eastAsia="zh-CN"/>
        </w:rPr>
        <w:t>)</w:t>
      </w:r>
    </w:p>
    <w:tbl>
      <w:tblPr>
        <w:tblStyle w:val="12"/>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213"/>
        <w:gridCol w:w="2196"/>
        <w:gridCol w:w="2552"/>
        <w:gridCol w:w="1299"/>
      </w:tblGrid>
      <w:tr w14:paraId="49CA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64" w:type="dxa"/>
            <w:vAlign w:val="center"/>
          </w:tcPr>
          <w:p w14:paraId="6E70EA5E">
            <w:pPr>
              <w:spacing w:after="0" w:line="240" w:lineRule="auto"/>
              <w:jc w:val="center"/>
              <w:rPr>
                <w:rFonts w:ascii="Times New Roman" w:hAnsi="Times New Roman" w:cs="Times New Roman"/>
              </w:rPr>
            </w:pPr>
            <w:r>
              <w:rPr>
                <w:rFonts w:ascii="Times New Roman" w:hAnsi="Times New Roman" w:cs="Times New Roman"/>
              </w:rPr>
              <w:t>Разделподраздел</w:t>
            </w:r>
          </w:p>
        </w:tc>
        <w:tc>
          <w:tcPr>
            <w:tcW w:w="3213" w:type="dxa"/>
            <w:vAlign w:val="center"/>
          </w:tcPr>
          <w:p w14:paraId="29EE3A76">
            <w:pPr>
              <w:spacing w:after="0" w:line="240" w:lineRule="auto"/>
              <w:jc w:val="center"/>
              <w:rPr>
                <w:rFonts w:ascii="Times New Roman" w:hAnsi="Times New Roman" w:cs="Times New Roman"/>
              </w:rPr>
            </w:pPr>
            <w:r>
              <w:rPr>
                <w:rFonts w:ascii="Times New Roman" w:hAnsi="Times New Roman" w:cs="Times New Roman"/>
              </w:rPr>
              <w:t>Наименование раздела, подраздела</w:t>
            </w:r>
          </w:p>
        </w:tc>
        <w:tc>
          <w:tcPr>
            <w:tcW w:w="2196" w:type="dxa"/>
          </w:tcPr>
          <w:p w14:paraId="6C62E4D8">
            <w:pPr>
              <w:spacing w:line="240" w:lineRule="auto"/>
              <w:jc w:val="center"/>
              <w:textAlignment w:val="top"/>
              <w:rPr>
                <w:rFonts w:ascii="Times New Roman" w:hAnsi="Times New Roman" w:cs="Times New Roman"/>
              </w:rPr>
            </w:pPr>
            <w:r>
              <w:rPr>
                <w:rFonts w:ascii="Times New Roman" w:hAnsi="Times New Roman" w:eastAsia="SimSun" w:cs="Times New Roman"/>
                <w:color w:val="000000"/>
                <w:lang w:eastAsia="zh-CN" w:bidi="ar"/>
              </w:rPr>
              <w:t>Утверждено Решением Совета от 12.12.2024 №38 на 2024 год</w:t>
            </w:r>
          </w:p>
        </w:tc>
        <w:tc>
          <w:tcPr>
            <w:tcW w:w="2552" w:type="dxa"/>
          </w:tcPr>
          <w:p w14:paraId="31196B28">
            <w:pPr>
              <w:spacing w:line="240" w:lineRule="auto"/>
              <w:jc w:val="center"/>
              <w:textAlignment w:val="top"/>
              <w:rPr>
                <w:rFonts w:ascii="Times New Roman" w:hAnsi="Times New Roman" w:cs="Times New Roman"/>
                <w:highlight w:val="yellow"/>
              </w:rPr>
            </w:pPr>
            <w:r>
              <w:rPr>
                <w:rStyle w:val="22"/>
                <w:rFonts w:eastAsia="SimSun"/>
                <w:lang w:eastAsia="zh-CN" w:bidi="ar"/>
              </w:rPr>
              <w:t>Утверждено бюджетной росписью на 2024 год (приказ №180-С от 28.12.2024г.)</w:t>
            </w:r>
          </w:p>
        </w:tc>
        <w:tc>
          <w:tcPr>
            <w:tcW w:w="1299" w:type="dxa"/>
            <w:vAlign w:val="center"/>
          </w:tcPr>
          <w:p w14:paraId="41CB49F4">
            <w:pPr>
              <w:spacing w:after="0" w:line="240" w:lineRule="auto"/>
              <w:jc w:val="center"/>
              <w:rPr>
                <w:rFonts w:ascii="Times New Roman" w:hAnsi="Times New Roman" w:cs="Times New Roman"/>
              </w:rPr>
            </w:pPr>
            <w:r>
              <w:rPr>
                <w:rFonts w:ascii="Times New Roman" w:hAnsi="Times New Roman" w:cs="Times New Roman"/>
              </w:rPr>
              <w:t>Изменение</w:t>
            </w:r>
          </w:p>
        </w:tc>
      </w:tr>
      <w:tr w14:paraId="4B32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64" w:type="dxa"/>
            <w:vAlign w:val="center"/>
          </w:tcPr>
          <w:p w14:paraId="294753F9">
            <w:pPr>
              <w:spacing w:after="0" w:line="240" w:lineRule="auto"/>
              <w:jc w:val="center"/>
              <w:textAlignment w:val="top"/>
              <w:rPr>
                <w:rFonts w:ascii="Times New Roman" w:hAnsi="Times New Roman" w:cs="Times New Roman"/>
                <w:b/>
                <w:bCs/>
              </w:rPr>
            </w:pPr>
            <w:r>
              <w:rPr>
                <w:rFonts w:ascii="Times New Roman" w:hAnsi="Times New Roman" w:eastAsia="SimSun" w:cs="Times New Roman"/>
                <w:b/>
                <w:bCs/>
                <w:color w:val="000000"/>
                <w:lang w:val="en-US" w:eastAsia="zh-CN" w:bidi="ar"/>
              </w:rPr>
              <w:t>Всего</w:t>
            </w:r>
          </w:p>
        </w:tc>
        <w:tc>
          <w:tcPr>
            <w:tcW w:w="3213" w:type="dxa"/>
            <w:vAlign w:val="center"/>
          </w:tcPr>
          <w:p w14:paraId="14F2B7A4">
            <w:pPr>
              <w:spacing w:after="0" w:line="240" w:lineRule="auto"/>
              <w:jc w:val="center"/>
              <w:rPr>
                <w:rFonts w:ascii="Times New Roman" w:hAnsi="Times New Roman" w:cs="Times New Roman"/>
                <w:b/>
                <w:bCs/>
              </w:rPr>
            </w:pPr>
          </w:p>
        </w:tc>
        <w:tc>
          <w:tcPr>
            <w:tcW w:w="2196" w:type="dxa"/>
          </w:tcPr>
          <w:p w14:paraId="53CF3EF6">
            <w:pPr>
              <w:spacing w:line="240" w:lineRule="auto"/>
              <w:jc w:val="center"/>
              <w:textAlignment w:val="top"/>
              <w:rPr>
                <w:rFonts w:ascii="Times New Roman" w:hAnsi="Times New Roman" w:cs="Times New Roman"/>
                <w:b/>
                <w:bCs/>
              </w:rPr>
            </w:pPr>
            <w:r>
              <w:rPr>
                <w:rFonts w:ascii="Times New Roman" w:hAnsi="Times New Roman" w:eastAsia="SimSun" w:cs="Times New Roman"/>
                <w:b/>
                <w:bCs/>
                <w:color w:val="000000"/>
                <w:lang w:val="en-US" w:eastAsia="zh-CN" w:bidi="ar"/>
              </w:rPr>
              <w:t xml:space="preserve">145954 243,50 </w:t>
            </w:r>
          </w:p>
        </w:tc>
        <w:tc>
          <w:tcPr>
            <w:tcW w:w="2552" w:type="dxa"/>
          </w:tcPr>
          <w:p w14:paraId="63767F32">
            <w:pPr>
              <w:spacing w:line="240" w:lineRule="auto"/>
              <w:jc w:val="center"/>
              <w:textAlignment w:val="top"/>
              <w:rPr>
                <w:rFonts w:ascii="Times New Roman" w:hAnsi="Times New Roman" w:cs="Times New Roman"/>
                <w:b/>
                <w:bCs/>
                <w:highlight w:val="yellow"/>
              </w:rPr>
            </w:pPr>
            <w:r>
              <w:rPr>
                <w:rFonts w:ascii="Times New Roman" w:hAnsi="Times New Roman" w:eastAsia="SimSun" w:cs="Times New Roman"/>
                <w:b/>
                <w:bCs/>
                <w:color w:val="000000"/>
                <w:lang w:val="en-US" w:eastAsia="zh-CN" w:bidi="ar"/>
              </w:rPr>
              <w:t xml:space="preserve">146229 243,50 </w:t>
            </w:r>
          </w:p>
        </w:tc>
        <w:tc>
          <w:tcPr>
            <w:tcW w:w="1299" w:type="dxa"/>
          </w:tcPr>
          <w:p w14:paraId="6CB02EED">
            <w:pPr>
              <w:spacing w:line="240" w:lineRule="auto"/>
              <w:jc w:val="center"/>
              <w:textAlignment w:val="top"/>
              <w:rPr>
                <w:rFonts w:ascii="Times New Roman" w:hAnsi="Times New Roman" w:eastAsia="SimSun" w:cs="Times New Roman"/>
                <w:b/>
                <w:bCs/>
                <w:color w:val="000000"/>
                <w:lang w:eastAsia="zh-CN" w:bidi="ar"/>
              </w:rPr>
            </w:pPr>
            <w:r>
              <w:rPr>
                <w:rFonts w:ascii="Times New Roman" w:hAnsi="Times New Roman" w:eastAsia="SimSun" w:cs="Times New Roman"/>
                <w:b/>
                <w:bCs/>
                <w:color w:val="000000"/>
                <w:lang w:val="en-US" w:eastAsia="zh-CN" w:bidi="ar"/>
              </w:rPr>
              <w:t xml:space="preserve">275 000,00 </w:t>
            </w:r>
          </w:p>
        </w:tc>
      </w:tr>
      <w:tr w14:paraId="195C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864" w:type="dxa"/>
            <w:vAlign w:val="center"/>
          </w:tcPr>
          <w:p w14:paraId="06FD2042">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0113</w:t>
            </w:r>
          </w:p>
        </w:tc>
        <w:tc>
          <w:tcPr>
            <w:tcW w:w="3213" w:type="dxa"/>
            <w:vAlign w:val="center"/>
          </w:tcPr>
          <w:p w14:paraId="5F89C9DD">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Другие общегосударственные вопросы</w:t>
            </w:r>
          </w:p>
        </w:tc>
        <w:tc>
          <w:tcPr>
            <w:tcW w:w="2196" w:type="dxa"/>
          </w:tcPr>
          <w:p w14:paraId="53AD0E17">
            <w:pPr>
              <w:spacing w:line="240" w:lineRule="auto"/>
              <w:jc w:val="center"/>
              <w:textAlignment w:val="top"/>
              <w:rPr>
                <w:rFonts w:ascii="Times New Roman" w:hAnsi="Times New Roman" w:cs="Times New Roman"/>
              </w:rPr>
            </w:pPr>
            <w:r>
              <w:rPr>
                <w:rFonts w:ascii="Times New Roman" w:hAnsi="Times New Roman" w:eastAsia="SimSun" w:cs="Times New Roman"/>
                <w:color w:val="000000"/>
                <w:lang w:val="en-US" w:eastAsia="zh-CN" w:bidi="ar"/>
              </w:rPr>
              <w:t xml:space="preserve">5178 166,89 </w:t>
            </w:r>
          </w:p>
        </w:tc>
        <w:tc>
          <w:tcPr>
            <w:tcW w:w="2552" w:type="dxa"/>
          </w:tcPr>
          <w:p w14:paraId="6AE94FEE">
            <w:pPr>
              <w:spacing w:line="240" w:lineRule="auto"/>
              <w:jc w:val="center"/>
              <w:textAlignment w:val="top"/>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5178 166,89 </w:t>
            </w:r>
          </w:p>
        </w:tc>
        <w:tc>
          <w:tcPr>
            <w:tcW w:w="1299" w:type="dxa"/>
            <w:vAlign w:val="center"/>
          </w:tcPr>
          <w:p w14:paraId="3F3C3879">
            <w:pPr>
              <w:spacing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 xml:space="preserve"> 0,00 </w:t>
            </w:r>
          </w:p>
        </w:tc>
      </w:tr>
      <w:tr w14:paraId="39DC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864" w:type="dxa"/>
            <w:vAlign w:val="center"/>
          </w:tcPr>
          <w:p w14:paraId="29C5B6B4">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0703</w:t>
            </w:r>
          </w:p>
        </w:tc>
        <w:tc>
          <w:tcPr>
            <w:tcW w:w="3213" w:type="dxa"/>
            <w:vAlign w:val="center"/>
          </w:tcPr>
          <w:p w14:paraId="685897FB">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Дополнительное образование детей</w:t>
            </w:r>
          </w:p>
        </w:tc>
        <w:tc>
          <w:tcPr>
            <w:tcW w:w="2196" w:type="dxa"/>
          </w:tcPr>
          <w:p w14:paraId="64B1B7C0">
            <w:pPr>
              <w:spacing w:line="240" w:lineRule="auto"/>
              <w:jc w:val="center"/>
              <w:textAlignment w:val="top"/>
              <w:rPr>
                <w:rFonts w:ascii="Times New Roman" w:hAnsi="Times New Roman" w:cs="Times New Roman"/>
              </w:rPr>
            </w:pPr>
            <w:r>
              <w:rPr>
                <w:rFonts w:ascii="Times New Roman" w:hAnsi="Times New Roman" w:eastAsia="SimSun" w:cs="Times New Roman"/>
                <w:color w:val="000000"/>
                <w:lang w:val="en-US" w:eastAsia="zh-CN" w:bidi="ar"/>
              </w:rPr>
              <w:t xml:space="preserve">69904 829,29 </w:t>
            </w:r>
          </w:p>
        </w:tc>
        <w:tc>
          <w:tcPr>
            <w:tcW w:w="2552" w:type="dxa"/>
          </w:tcPr>
          <w:p w14:paraId="04222D5D">
            <w:pPr>
              <w:spacing w:line="240" w:lineRule="auto"/>
              <w:jc w:val="center"/>
              <w:textAlignment w:val="top"/>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69904 829,29 </w:t>
            </w:r>
          </w:p>
        </w:tc>
        <w:tc>
          <w:tcPr>
            <w:tcW w:w="1299" w:type="dxa"/>
            <w:vAlign w:val="center"/>
          </w:tcPr>
          <w:p w14:paraId="07890960">
            <w:pPr>
              <w:spacing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 xml:space="preserve"> 0,00 </w:t>
            </w:r>
          </w:p>
        </w:tc>
      </w:tr>
      <w:tr w14:paraId="772C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864" w:type="dxa"/>
            <w:vAlign w:val="center"/>
          </w:tcPr>
          <w:p w14:paraId="783E8038">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0801</w:t>
            </w:r>
          </w:p>
        </w:tc>
        <w:tc>
          <w:tcPr>
            <w:tcW w:w="3213" w:type="dxa"/>
            <w:vAlign w:val="center"/>
          </w:tcPr>
          <w:p w14:paraId="4CA8F48D">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Культура</w:t>
            </w:r>
          </w:p>
        </w:tc>
        <w:tc>
          <w:tcPr>
            <w:tcW w:w="2196" w:type="dxa"/>
          </w:tcPr>
          <w:p w14:paraId="2558EAA2">
            <w:pPr>
              <w:spacing w:line="240" w:lineRule="auto"/>
              <w:jc w:val="center"/>
              <w:textAlignment w:val="top"/>
              <w:rPr>
                <w:rFonts w:ascii="Times New Roman" w:hAnsi="Times New Roman" w:cs="Times New Roman"/>
              </w:rPr>
            </w:pPr>
            <w:r>
              <w:rPr>
                <w:rFonts w:ascii="Times New Roman" w:hAnsi="Times New Roman" w:eastAsia="SimSun" w:cs="Times New Roman"/>
                <w:color w:val="000000"/>
                <w:lang w:val="en-US" w:eastAsia="zh-CN" w:bidi="ar"/>
              </w:rPr>
              <w:t xml:space="preserve">61369 351,71 </w:t>
            </w:r>
          </w:p>
        </w:tc>
        <w:tc>
          <w:tcPr>
            <w:tcW w:w="2552" w:type="dxa"/>
          </w:tcPr>
          <w:p w14:paraId="46142096">
            <w:pPr>
              <w:spacing w:line="240" w:lineRule="auto"/>
              <w:jc w:val="center"/>
              <w:textAlignment w:val="top"/>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61369 351,71 </w:t>
            </w:r>
          </w:p>
        </w:tc>
        <w:tc>
          <w:tcPr>
            <w:tcW w:w="1299" w:type="dxa"/>
            <w:vAlign w:val="center"/>
          </w:tcPr>
          <w:p w14:paraId="4131466C">
            <w:pPr>
              <w:spacing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 xml:space="preserve"> 0,00 </w:t>
            </w:r>
          </w:p>
        </w:tc>
      </w:tr>
      <w:tr w14:paraId="0B01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864" w:type="dxa"/>
            <w:vAlign w:val="center"/>
          </w:tcPr>
          <w:p w14:paraId="0304241B">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0802</w:t>
            </w:r>
          </w:p>
        </w:tc>
        <w:tc>
          <w:tcPr>
            <w:tcW w:w="3213" w:type="dxa"/>
            <w:vAlign w:val="center"/>
          </w:tcPr>
          <w:p w14:paraId="11DBF285">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Кинематография</w:t>
            </w:r>
          </w:p>
        </w:tc>
        <w:tc>
          <w:tcPr>
            <w:tcW w:w="2196" w:type="dxa"/>
          </w:tcPr>
          <w:p w14:paraId="1AEB918D">
            <w:pPr>
              <w:spacing w:line="240" w:lineRule="auto"/>
              <w:jc w:val="center"/>
              <w:textAlignment w:val="top"/>
              <w:rPr>
                <w:rFonts w:ascii="Times New Roman" w:hAnsi="Times New Roman" w:cs="Times New Roman"/>
              </w:rPr>
            </w:pPr>
            <w:r>
              <w:rPr>
                <w:rFonts w:ascii="Times New Roman" w:hAnsi="Times New Roman" w:eastAsia="SimSun" w:cs="Times New Roman"/>
                <w:color w:val="000000"/>
                <w:lang w:val="en-US" w:eastAsia="zh-CN" w:bidi="ar"/>
              </w:rPr>
              <w:t xml:space="preserve">5438 471,54 </w:t>
            </w:r>
          </w:p>
        </w:tc>
        <w:tc>
          <w:tcPr>
            <w:tcW w:w="2552" w:type="dxa"/>
          </w:tcPr>
          <w:p w14:paraId="52D97C63">
            <w:pPr>
              <w:spacing w:line="240" w:lineRule="auto"/>
              <w:jc w:val="center"/>
              <w:textAlignment w:val="top"/>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5438 471,54 </w:t>
            </w:r>
          </w:p>
        </w:tc>
        <w:tc>
          <w:tcPr>
            <w:tcW w:w="1299" w:type="dxa"/>
            <w:vAlign w:val="center"/>
          </w:tcPr>
          <w:p w14:paraId="3D433BCC">
            <w:pPr>
              <w:spacing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 xml:space="preserve"> 0,00 </w:t>
            </w:r>
          </w:p>
        </w:tc>
      </w:tr>
      <w:tr w14:paraId="41F7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exact"/>
          <w:jc w:val="center"/>
        </w:trPr>
        <w:tc>
          <w:tcPr>
            <w:tcW w:w="864" w:type="dxa"/>
            <w:vAlign w:val="center"/>
          </w:tcPr>
          <w:p w14:paraId="7CDB2B59">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0804</w:t>
            </w:r>
          </w:p>
        </w:tc>
        <w:tc>
          <w:tcPr>
            <w:tcW w:w="3213" w:type="dxa"/>
            <w:vAlign w:val="center"/>
          </w:tcPr>
          <w:p w14:paraId="0DB43F17">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eastAsia="zh-CN" w:bidi="ar"/>
              </w:rPr>
              <w:t>Другие вопросы в области культуры, кинематографии</w:t>
            </w:r>
          </w:p>
        </w:tc>
        <w:tc>
          <w:tcPr>
            <w:tcW w:w="2196" w:type="dxa"/>
          </w:tcPr>
          <w:p w14:paraId="0B5654B3">
            <w:pPr>
              <w:spacing w:line="240" w:lineRule="auto"/>
              <w:jc w:val="center"/>
              <w:textAlignment w:val="top"/>
              <w:rPr>
                <w:rFonts w:ascii="Times New Roman" w:hAnsi="Times New Roman" w:cs="Times New Roman"/>
              </w:rPr>
            </w:pPr>
            <w:r>
              <w:rPr>
                <w:rFonts w:ascii="Times New Roman" w:hAnsi="Times New Roman" w:eastAsia="SimSun" w:cs="Times New Roman"/>
                <w:color w:val="000000"/>
                <w:lang w:val="en-US" w:eastAsia="zh-CN" w:bidi="ar"/>
              </w:rPr>
              <w:t xml:space="preserve">4063 424,07 </w:t>
            </w:r>
          </w:p>
        </w:tc>
        <w:tc>
          <w:tcPr>
            <w:tcW w:w="2552" w:type="dxa"/>
          </w:tcPr>
          <w:p w14:paraId="706FBEA3">
            <w:pPr>
              <w:spacing w:line="240" w:lineRule="auto"/>
              <w:jc w:val="center"/>
              <w:textAlignment w:val="top"/>
              <w:rPr>
                <w:rFonts w:ascii="Times New Roman" w:hAnsi="Times New Roman" w:cs="Times New Roman"/>
                <w:highlight w:val="yellow"/>
              </w:rPr>
            </w:pPr>
            <w:r>
              <w:rPr>
                <w:rFonts w:ascii="Times New Roman" w:hAnsi="Times New Roman" w:eastAsia="SimSun" w:cs="Times New Roman"/>
                <w:color w:val="000000"/>
                <w:lang w:val="en-US" w:eastAsia="zh-CN" w:bidi="ar"/>
              </w:rPr>
              <w:t xml:space="preserve">4338 424,07 </w:t>
            </w:r>
          </w:p>
        </w:tc>
        <w:tc>
          <w:tcPr>
            <w:tcW w:w="1299" w:type="dxa"/>
            <w:vAlign w:val="center"/>
          </w:tcPr>
          <w:p w14:paraId="4E650E19">
            <w:pPr>
              <w:spacing w:line="240" w:lineRule="auto"/>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 xml:space="preserve">275 000,00 </w:t>
            </w:r>
          </w:p>
        </w:tc>
      </w:tr>
    </w:tbl>
    <w:p w14:paraId="6EC86CB6">
      <w:pPr>
        <w:spacing w:before="72" w:beforeLines="30" w:after="72" w:afterLines="3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представленной бухгалтерской отчетностью доходы, администрируемые Управлением культуры, составили 6 053 408,12 </w:t>
      </w:r>
      <w:r>
        <w:rPr>
          <w:rFonts w:ascii="Times New Roman" w:hAnsi="Times New Roman" w:cs="Times New Roman"/>
          <w:sz w:val="24"/>
          <w:szCs w:val="24"/>
          <w:lang w:val="ru-RU" w:eastAsia="zh-CN"/>
        </w:rPr>
        <w:t>руб.</w:t>
      </w:r>
      <w:r>
        <w:rPr>
          <w:rFonts w:ascii="Times New Roman" w:hAnsi="Times New Roman" w:cs="Times New Roman"/>
          <w:sz w:val="24"/>
          <w:szCs w:val="24"/>
          <w:lang w:eastAsia="zh-CN"/>
        </w:rPr>
        <w:t xml:space="preserve"> при плане 5 799 889,02 </w:t>
      </w:r>
      <w:r>
        <w:rPr>
          <w:rFonts w:ascii="Times New Roman" w:hAnsi="Times New Roman" w:cs="Times New Roman"/>
          <w:sz w:val="24"/>
          <w:szCs w:val="24"/>
          <w:lang w:val="ru-RU" w:eastAsia="zh-CN"/>
        </w:rPr>
        <w:t>руб.</w:t>
      </w:r>
      <w:r>
        <w:rPr>
          <w:rFonts w:ascii="Times New Roman" w:hAnsi="Times New Roman" w:cs="Times New Roman"/>
          <w:sz w:val="24"/>
          <w:szCs w:val="24"/>
          <w:lang w:eastAsia="zh-CN"/>
        </w:rPr>
        <w:t xml:space="preserve">, исполнение составило 104,37%. Расходы составили 145 627 849,42 </w:t>
      </w:r>
      <w:r>
        <w:rPr>
          <w:rFonts w:ascii="Times New Roman" w:hAnsi="Times New Roman" w:cs="Times New Roman"/>
          <w:sz w:val="24"/>
          <w:szCs w:val="24"/>
          <w:lang w:val="ru-RU" w:eastAsia="zh-CN"/>
        </w:rPr>
        <w:t>руб.</w:t>
      </w:r>
      <w:r>
        <w:rPr>
          <w:rFonts w:ascii="Times New Roman" w:hAnsi="Times New Roman" w:cs="Times New Roman"/>
          <w:sz w:val="24"/>
          <w:szCs w:val="24"/>
          <w:lang w:eastAsia="zh-CN"/>
        </w:rPr>
        <w:t xml:space="preserve"> при плане 146 229 243,50 </w:t>
      </w:r>
      <w:r>
        <w:rPr>
          <w:rFonts w:ascii="Times New Roman" w:hAnsi="Times New Roman" w:cs="Times New Roman"/>
          <w:sz w:val="24"/>
          <w:szCs w:val="24"/>
          <w:lang w:val="ru-RU" w:eastAsia="zh-CN"/>
        </w:rPr>
        <w:t>руб.</w:t>
      </w:r>
      <w:r>
        <w:rPr>
          <w:rFonts w:ascii="Times New Roman" w:hAnsi="Times New Roman" w:cs="Times New Roman"/>
          <w:sz w:val="24"/>
          <w:szCs w:val="24"/>
          <w:lang w:eastAsia="zh-CN"/>
        </w:rPr>
        <w:t>, исполнение составило 99,59%.</w:t>
      </w:r>
    </w:p>
    <w:p w14:paraId="7EB5E108">
      <w:pPr>
        <w:spacing w:after="6" w:line="24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4. </w:t>
      </w:r>
      <w:r>
        <w:rPr>
          <w:rFonts w:ascii="Times New Roman" w:hAnsi="Times New Roman" w:cs="Times New Roman"/>
          <w:b/>
          <w:bCs/>
          <w:color w:val="000000" w:themeColor="text1"/>
          <w:sz w:val="24"/>
          <w:szCs w:val="24"/>
          <w:lang w:eastAsia="zh-CN"/>
          <w14:textFill>
            <w14:solidFill>
              <w14:schemeClr w14:val="tx1"/>
            </w14:solidFill>
          </w14:textFill>
        </w:rPr>
        <w:t>Проверка правильности составления, ведения бюджетной отчетности</w:t>
      </w:r>
    </w:p>
    <w:p w14:paraId="602E112F">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Проверкой полноты бюджетной отчетности в части ее соответствия по составу и установленным формам, достоверности отражения показателей бюджетной отчетности по их соответствию положениям Инструкции №191н определен выборочный способ проверки.</w:t>
      </w:r>
    </w:p>
    <w:p w14:paraId="2EB36CE8">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требованиями п.7 Инструкции №191н бюджетная отчетность составлена:</w:t>
      </w:r>
    </w:p>
    <w:p w14:paraId="6886C85D">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на основе данных Главной книги и (или) других регистров бюджетного учета; </w:t>
      </w:r>
    </w:p>
    <w:p w14:paraId="1719BA91">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на основе плановых (прогнозных) и (или) аналитических (управленческих) данных, сформированных в ходе осуществления субъектом учета своей деятельности.</w:t>
      </w:r>
    </w:p>
    <w:p w14:paraId="505312EA">
      <w:pPr>
        <w:spacing w:after="72" w:afterLines="30" w:line="240" w:lineRule="auto"/>
        <w:ind w:firstLine="567"/>
        <w:jc w:val="both"/>
        <w:rPr>
          <w:rFonts w:ascii="Times New Roman" w:hAnsi="Times New Roman" w:cs="Times New Roman"/>
          <w:b/>
          <w:color w:val="376092" w:themeColor="accent1" w:themeShade="BF"/>
          <w:sz w:val="24"/>
          <w:szCs w:val="24"/>
          <w:highlight w:val="yellow"/>
        </w:rPr>
      </w:pPr>
      <w:r>
        <w:rPr>
          <w:rFonts w:ascii="Times New Roman" w:hAnsi="Times New Roman"/>
          <w:bCs/>
          <w:color w:val="000000" w:themeColor="text1"/>
          <w:sz w:val="24"/>
          <w:szCs w:val="24"/>
          <w14:textFill>
            <w14:solidFill>
              <w14:schemeClr w14:val="tx1"/>
            </w14:solidFill>
          </w14:textFill>
        </w:rPr>
        <w:t>П</w:t>
      </w:r>
      <w:r>
        <w:rPr>
          <w:rFonts w:ascii="Times New Roman" w:hAnsi="Times New Roman" w:cs="Times New Roman"/>
          <w:bCs/>
          <w:color w:val="000000" w:themeColor="text1"/>
          <w:sz w:val="24"/>
          <w:szCs w:val="24"/>
          <w14:textFill>
            <w14:solidFill>
              <w14:schemeClr w14:val="tx1"/>
            </w14:solidFill>
          </w14:textFill>
        </w:rPr>
        <w:t>оказатели форм отчетности соответствуют остаткам и оборотам по счетам, отраженным в главной книге.</w:t>
      </w:r>
    </w:p>
    <w:p w14:paraId="08CB43C7">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4.1. Справка по заключению счетов бюджетного учета отчетного финансового года (ф.0503110)</w:t>
      </w:r>
    </w:p>
    <w:p w14:paraId="449AD7A8">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 исполнение п.43 Инструкции №191н справка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(раздел 1 и раздел 3) и деятельности со средствами, поступающими во временное распоряжение (раздел 2).</w:t>
      </w:r>
    </w:p>
    <w:p w14:paraId="7F9D5F71">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Раздел 1 «Бюджетная деятельность» справки сформирован на основании данных по соответствующим номерам счетов 0.401.10 «Доходы текущего финансового года», 0.401.20 «Расходы текущего финансового года» в сумме показателей на 01.01.2025 (графы 2,3) и в сумме заключительных операций по закрытию счетов, произведенных по завершении 2024 года (графы 4-7). Данные показателей ф.0503110 сопоставимы с данными ф. 0503121.</w:t>
      </w:r>
    </w:p>
    <w:p w14:paraId="585DA174">
      <w:pPr>
        <w:spacing w:after="0" w:line="240" w:lineRule="auto"/>
        <w:ind w:firstLine="567"/>
        <w:jc w:val="both"/>
        <w:rPr>
          <w:rFonts w:ascii="Times New Roman" w:hAnsi="Times New Roman" w:cs="Times New Roman"/>
          <w:color w:val="000000" w:themeColor="text1"/>
          <w:sz w:val="12"/>
          <w:szCs w:val="12"/>
          <w:highlight w:val="yellow"/>
          <w14:textFill>
            <w14:solidFill>
              <w14:schemeClr w14:val="tx1"/>
            </w14:solidFill>
          </w14:textFill>
        </w:rPr>
      </w:pPr>
    </w:p>
    <w:p w14:paraId="57E6E21B">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4.2. Отчет о финансовых результатах деятельности (ф.0503121)</w:t>
      </w:r>
    </w:p>
    <w:p w14:paraId="01C8D9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Отчет ф. 0503121 представлен в составе годовой бюджетной отчетности (п. п. 10, 92 Инструкции № 191н). Во исполнение п.92-93 Инструкции № 191н отчет содержит данные о финансовых результатах деятельности в разрезе кодов КОСГУ по состоянию на 01.01.2025 г., отраженные в рамках бюджетной деятельности (гр.4) и итогового показателя (гр.6).</w:t>
      </w:r>
    </w:p>
    <w:p w14:paraId="4EB2AA3D">
      <w:pPr>
        <w:spacing w:after="0" w:line="240" w:lineRule="auto"/>
        <w:ind w:firstLine="567"/>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Таблица №4</w:t>
      </w:r>
    </w:p>
    <w:tbl>
      <w:tblPr>
        <w:tblStyle w:val="4"/>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6451"/>
        <w:gridCol w:w="3291"/>
      </w:tblGrid>
      <w:tr w14:paraId="682A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36" w:type="dxa"/>
            <w:shd w:val="clear" w:color="auto" w:fill="auto"/>
            <w:vAlign w:val="center"/>
          </w:tcPr>
          <w:p w14:paraId="1C0B015A">
            <w:pPr>
              <w:spacing w:after="0" w:line="240" w:lineRule="auto"/>
              <w:ind w:left="-4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№п/п</w:t>
            </w:r>
          </w:p>
        </w:tc>
        <w:tc>
          <w:tcPr>
            <w:tcW w:w="6520" w:type="dxa"/>
            <w:shd w:val="clear" w:color="auto" w:fill="auto"/>
            <w:vAlign w:val="center"/>
          </w:tcPr>
          <w:p w14:paraId="226C725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Показатель</w:t>
            </w:r>
          </w:p>
        </w:tc>
        <w:tc>
          <w:tcPr>
            <w:tcW w:w="3315" w:type="dxa"/>
            <w:shd w:val="clear" w:color="auto" w:fill="auto"/>
            <w:vAlign w:val="center"/>
          </w:tcPr>
          <w:p w14:paraId="58FE951B">
            <w:pPr>
              <w:spacing w:after="0" w:line="240" w:lineRule="auto"/>
              <w:ind w:left="-108"/>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Бюджетная деятельность, руб.</w:t>
            </w:r>
          </w:p>
        </w:tc>
      </w:tr>
      <w:tr w14:paraId="66A7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36" w:type="dxa"/>
            <w:shd w:val="clear" w:color="auto" w:fill="auto"/>
            <w:vAlign w:val="center"/>
          </w:tcPr>
          <w:p w14:paraId="11711C0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c>
          <w:tcPr>
            <w:tcW w:w="6520" w:type="dxa"/>
            <w:shd w:val="clear" w:color="auto" w:fill="auto"/>
            <w:vAlign w:val="center"/>
          </w:tcPr>
          <w:p w14:paraId="5DB2EBFA">
            <w:pPr>
              <w:spacing w:after="0" w:line="240" w:lineRule="auto"/>
              <w:ind w:left="-60" w:right="-22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Доходы (стр. 010)</w:t>
            </w:r>
          </w:p>
        </w:tc>
        <w:tc>
          <w:tcPr>
            <w:tcW w:w="3315" w:type="dxa"/>
            <w:shd w:val="clear" w:color="auto" w:fill="auto"/>
            <w:vAlign w:val="bottom"/>
          </w:tcPr>
          <w:p w14:paraId="5B6BA0FA">
            <w:pPr>
              <w:spacing w:line="240" w:lineRule="auto"/>
              <w:jc w:val="center"/>
              <w:textAlignment w:val="bottom"/>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eastAsia="zh-CN" w:bidi="ar"/>
                <w14:textFill>
                  <w14:solidFill>
                    <w14:schemeClr w14:val="tx1"/>
                  </w14:solidFill>
                </w14:textFill>
              </w:rPr>
              <w:t>6 932 284,09</w:t>
            </w:r>
          </w:p>
        </w:tc>
      </w:tr>
      <w:tr w14:paraId="41C7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exact"/>
          <w:jc w:val="center"/>
        </w:trPr>
        <w:tc>
          <w:tcPr>
            <w:tcW w:w="636" w:type="dxa"/>
            <w:shd w:val="clear" w:color="auto" w:fill="auto"/>
            <w:vAlign w:val="center"/>
          </w:tcPr>
          <w:p w14:paraId="17B41F6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p>
        </w:tc>
        <w:tc>
          <w:tcPr>
            <w:tcW w:w="6520" w:type="dxa"/>
            <w:shd w:val="clear" w:color="auto" w:fill="auto"/>
            <w:vAlign w:val="center"/>
          </w:tcPr>
          <w:p w14:paraId="4A7A20B6">
            <w:pPr>
              <w:spacing w:after="0" w:line="240" w:lineRule="auto"/>
              <w:ind w:left="-60" w:right="-22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Расходы (стр.150)</w:t>
            </w:r>
          </w:p>
        </w:tc>
        <w:tc>
          <w:tcPr>
            <w:tcW w:w="3315" w:type="dxa"/>
            <w:shd w:val="clear" w:color="auto" w:fill="auto"/>
            <w:vAlign w:val="bottom"/>
          </w:tcPr>
          <w:p w14:paraId="25D27492">
            <w:pPr>
              <w:spacing w:line="240" w:lineRule="auto"/>
              <w:jc w:val="center"/>
              <w:textAlignment w:val="bottom"/>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eastAsia="zh-CN" w:bidi="ar"/>
                <w14:textFill>
                  <w14:solidFill>
                    <w14:schemeClr w14:val="tx1"/>
                  </w14:solidFill>
                </w14:textFill>
              </w:rPr>
              <w:t>145 202 010,80</w:t>
            </w:r>
          </w:p>
        </w:tc>
      </w:tr>
      <w:tr w14:paraId="690D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36" w:type="dxa"/>
            <w:shd w:val="clear" w:color="auto" w:fill="auto"/>
            <w:vAlign w:val="center"/>
          </w:tcPr>
          <w:p w14:paraId="288C113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p>
        </w:tc>
        <w:tc>
          <w:tcPr>
            <w:tcW w:w="6520" w:type="dxa"/>
            <w:shd w:val="clear" w:color="auto" w:fill="auto"/>
            <w:vAlign w:val="center"/>
          </w:tcPr>
          <w:p w14:paraId="1B3AB546">
            <w:pPr>
              <w:spacing w:after="0" w:line="240" w:lineRule="auto"/>
              <w:ind w:left="-60" w:right="-224"/>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Чистый операционный результат </w:t>
            </w:r>
          </w:p>
        </w:tc>
        <w:tc>
          <w:tcPr>
            <w:tcW w:w="3315" w:type="dxa"/>
            <w:shd w:val="clear" w:color="auto" w:fill="auto"/>
            <w:vAlign w:val="bottom"/>
          </w:tcPr>
          <w:p w14:paraId="6C251B77">
            <w:pPr>
              <w:spacing w:line="240" w:lineRule="auto"/>
              <w:jc w:val="center"/>
              <w:textAlignment w:val="bottom"/>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eastAsia="zh-CN" w:bidi="ar"/>
                <w14:textFill>
                  <w14:solidFill>
                    <w14:schemeClr w14:val="tx1"/>
                  </w14:solidFill>
                </w14:textFill>
              </w:rPr>
              <w:t>-138 269 726,71</w:t>
            </w:r>
          </w:p>
        </w:tc>
      </w:tr>
      <w:tr w14:paraId="7357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36" w:type="dxa"/>
            <w:shd w:val="clear" w:color="auto" w:fill="auto"/>
            <w:vAlign w:val="center"/>
          </w:tcPr>
          <w:p w14:paraId="08DFF0F1">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w:t>
            </w:r>
          </w:p>
        </w:tc>
        <w:tc>
          <w:tcPr>
            <w:tcW w:w="6520" w:type="dxa"/>
            <w:shd w:val="clear" w:color="auto" w:fill="auto"/>
            <w:vAlign w:val="center"/>
          </w:tcPr>
          <w:p w14:paraId="448A3E42">
            <w:pPr>
              <w:spacing w:after="0" w:line="240" w:lineRule="auto"/>
              <w:ind w:left="-60" w:right="-22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Операции с нефинансовыми активами (стр. 310)</w:t>
            </w:r>
          </w:p>
        </w:tc>
        <w:tc>
          <w:tcPr>
            <w:tcW w:w="3315" w:type="dxa"/>
            <w:shd w:val="clear" w:color="auto" w:fill="auto"/>
            <w:vAlign w:val="bottom"/>
          </w:tcPr>
          <w:p w14:paraId="34B8FB18">
            <w:pPr>
              <w:spacing w:line="240" w:lineRule="auto"/>
              <w:jc w:val="center"/>
              <w:textAlignment w:val="bottom"/>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eastAsia="zh-CN" w:bidi="ar"/>
                <w14:textFill>
                  <w14:solidFill>
                    <w14:schemeClr w14:val="tx1"/>
                  </w14:solidFill>
                </w14:textFill>
              </w:rPr>
              <w:t>142 873,17</w:t>
            </w:r>
          </w:p>
        </w:tc>
      </w:tr>
      <w:tr w14:paraId="7F40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636" w:type="dxa"/>
            <w:shd w:val="clear" w:color="auto" w:fill="auto"/>
            <w:vAlign w:val="center"/>
          </w:tcPr>
          <w:p w14:paraId="48431E6F">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p>
        </w:tc>
        <w:tc>
          <w:tcPr>
            <w:tcW w:w="6520" w:type="dxa"/>
            <w:shd w:val="clear" w:color="auto" w:fill="auto"/>
            <w:vAlign w:val="center"/>
          </w:tcPr>
          <w:p w14:paraId="2BDADA77">
            <w:pPr>
              <w:spacing w:after="0" w:line="240" w:lineRule="auto"/>
              <w:ind w:left="-60" w:right="-22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Операции с финансовыми активами и обязательствами (стр.410)</w:t>
            </w:r>
          </w:p>
        </w:tc>
        <w:tc>
          <w:tcPr>
            <w:tcW w:w="3315" w:type="dxa"/>
            <w:shd w:val="clear" w:color="auto" w:fill="auto"/>
            <w:vAlign w:val="bottom"/>
          </w:tcPr>
          <w:p w14:paraId="10910ACC">
            <w:pPr>
              <w:spacing w:line="240" w:lineRule="auto"/>
              <w:jc w:val="center"/>
              <w:textAlignment w:val="bottom"/>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eastAsia="zh-CN" w:bidi="ar"/>
                <w14:textFill>
                  <w14:solidFill>
                    <w14:schemeClr w14:val="tx1"/>
                  </w14:solidFill>
                </w14:textFill>
              </w:rPr>
              <w:t>-138 412 599,88</w:t>
            </w:r>
          </w:p>
        </w:tc>
      </w:tr>
    </w:tbl>
    <w:p w14:paraId="60F93769">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Доходы в размере (6932284,09)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сложились за счет:</w:t>
      </w:r>
    </w:p>
    <w:p w14:paraId="1F271DA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доходы от собственности (код КОСГУ 120) - 230968,58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w:t>
      </w:r>
    </w:p>
    <w:p w14:paraId="3537CAE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доходы от оказания платных услуг (код КОСГУ 130) - 1748059,62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w:t>
      </w:r>
    </w:p>
    <w:p w14:paraId="614BDED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штрафы, пени, неустойки (код КОСГУ 140) - 0,00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w:t>
      </w:r>
    </w:p>
    <w:p w14:paraId="75B8383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безвозмездные поступления (код КОСГУ 150) - 4063789,31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w:t>
      </w:r>
    </w:p>
    <w:p w14:paraId="4FCAEF3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доходов от операций с активами (код КОСГУ 170) - (-183700,14)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w:t>
      </w:r>
    </w:p>
    <w:p w14:paraId="23EC07C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-прочие доходы (код КОСГУ 180) - 490498,84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w:t>
      </w:r>
    </w:p>
    <w:p w14:paraId="1A5D3BB9">
      <w:pPr>
        <w:spacing w:after="72" w:afterLines="3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безвозмездные неденежные поступления (код КОСГУ 190) - 582667,88 </w:t>
      </w:r>
      <w:r>
        <w:rPr>
          <w:rFonts w:ascii="Times New Roman" w:hAnsi="Times New Roman" w:cs="Times New Roman"/>
          <w:color w:val="000000" w:themeColor="text1"/>
          <w:sz w:val="24"/>
          <w:szCs w:val="24"/>
          <w:lang w:val="ru-RU"/>
          <w14:textFill>
            <w14:solidFill>
              <w14:schemeClr w14:val="tx1"/>
            </w14:solidFill>
          </w14:textFill>
        </w:rPr>
        <w:t>руб.</w:t>
      </w:r>
    </w:p>
    <w:p w14:paraId="729200AF">
      <w:pPr>
        <w:spacing w:after="72" w:afterLines="3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4.3. Отчет о движении денежных средств (ф.0503123)</w:t>
      </w:r>
    </w:p>
    <w:p w14:paraId="2953FA9C">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п.146 Инструкции №191н отчет содержит данные о движении денежных средств в кассе, на счете по состоянию на 01.01.2025г. и составлен в разрезе КОСГУ. Информация сгруппирована по видам операций: текущие, инвестиционные, финансовые. Показатели графы 4 Отчета (ф.0503123) сформированы на основании данных по видам поступлений и выбытий, с учетом возвратов текущего финансового периода.</w:t>
      </w:r>
    </w:p>
    <w:p w14:paraId="1F85C942">
      <w:pPr>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Сумма </w:t>
      </w:r>
      <w:r>
        <w:fldChar w:fldCharType="begin"/>
      </w:r>
      <w:r>
        <w:instrText xml:space="preserve"> HYPERLINK "consultantplus://offline/ref=827AC9A5E62DFDDB7D04897F3119B8BA47CEE20C384A92A7311A1AF96C7C502A7D3D2E439D81FE5269D41AE7A2C3C7E592C86EE01B76D2wAEEL" </w:instrText>
      </w:r>
      <w:r>
        <w:fldChar w:fldCharType="separate"/>
      </w:r>
      <w:r>
        <w:rPr>
          <w:rFonts w:ascii="Times New Roman" w:hAnsi="Times New Roman" w:cs="Times New Roman"/>
          <w:color w:val="000000" w:themeColor="text1"/>
          <w:sz w:val="24"/>
          <w:szCs w:val="24"/>
          <w14:textFill>
            <w14:solidFill>
              <w14:schemeClr w14:val="tx1"/>
            </w14:solidFill>
          </w14:textFill>
        </w:rPr>
        <w:t>строк 5010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и </w:t>
      </w:r>
      <w:r>
        <w:fldChar w:fldCharType="begin"/>
      </w:r>
      <w:r>
        <w:instrText xml:space="preserve"> HYPERLINK "consultantplus://offline/ref=827AC9A5E62DFDDB7D04897F3119B8BA47CEE20C384A92A7311A1AF96C7C502A7D3D2E439D81FE5169D41AE7A2C3C7E592C86EE01B76D2wAEEL" </w:instrText>
      </w:r>
      <w:r>
        <w:fldChar w:fldCharType="separate"/>
      </w:r>
      <w:r>
        <w:rPr>
          <w:rFonts w:ascii="Times New Roman" w:hAnsi="Times New Roman" w:cs="Times New Roman"/>
          <w:color w:val="000000" w:themeColor="text1"/>
          <w:sz w:val="24"/>
          <w:szCs w:val="24"/>
          <w14:textFill>
            <w14:solidFill>
              <w14:schemeClr w14:val="tx1"/>
            </w14:solidFill>
          </w14:textFill>
        </w:rPr>
        <w:t>5020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за вычетом </w:t>
      </w:r>
      <w:r>
        <w:fldChar w:fldCharType="begin"/>
      </w:r>
      <w:r>
        <w:instrText xml:space="preserve"> HYPERLINK "consultantplus://offline/ref=827AC9A5E62DFDDB7D04897F3119B8BA47CEE20C384A92A7311A1AF96C7C502A7D3D2E439D8EF85A69D41AE7A2C3C7E592C86EE01B76D2wAEEL" </w:instrText>
      </w:r>
      <w:r>
        <w:fldChar w:fldCharType="separate"/>
      </w:r>
      <w:r>
        <w:rPr>
          <w:rFonts w:ascii="Times New Roman" w:hAnsi="Times New Roman" w:cs="Times New Roman"/>
          <w:color w:val="000000" w:themeColor="text1"/>
          <w:sz w:val="24"/>
          <w:szCs w:val="24"/>
          <w14:textFill>
            <w14:solidFill>
              <w14:schemeClr w14:val="tx1"/>
            </w14:solidFill>
          </w14:textFill>
        </w:rPr>
        <w:t>строки 4400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и суммы </w:t>
      </w:r>
      <w:r>
        <w:fldChar w:fldCharType="begin"/>
      </w:r>
      <w:r>
        <w:instrText xml:space="preserve"> HYPERLINK "consultantplus://offline/ref=827AC9A5E62DFDDB7D04897F3119B8BA47CEE20C384A92A7311A1AF96C7C502A7D3D2E439D8EF65469D41AE7A2C3C7E592C86EE01B76D2wAEEL" </w:instrText>
      </w:r>
      <w:r>
        <w:fldChar w:fldCharType="separate"/>
      </w:r>
      <w:r>
        <w:rPr>
          <w:rFonts w:ascii="Times New Roman" w:hAnsi="Times New Roman" w:cs="Times New Roman"/>
          <w:color w:val="000000" w:themeColor="text1"/>
          <w:sz w:val="24"/>
          <w:szCs w:val="24"/>
          <w14:textFill>
            <w14:solidFill>
              <w14:schemeClr w14:val="tx1"/>
            </w14:solidFill>
          </w14:textFill>
        </w:rPr>
        <w:t>строк 4610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и </w:t>
      </w:r>
      <w:r>
        <w:fldChar w:fldCharType="begin"/>
      </w:r>
      <w:r>
        <w:instrText xml:space="preserve"> HYPERLINK "consultantplus://offline/ref=827AC9A5E62DFDDB7D04897F3119B8BA47CEE20C384A92A7311A1AF96C7C502A7D3D2E439D8EF65B69D41AE7A2C3C7E592C86EE01B76D2wAEEL" </w:instrText>
      </w:r>
      <w:r>
        <w:fldChar w:fldCharType="separate"/>
      </w:r>
      <w:r>
        <w:rPr>
          <w:rFonts w:ascii="Times New Roman" w:hAnsi="Times New Roman" w:cs="Times New Roman"/>
          <w:color w:val="000000" w:themeColor="text1"/>
          <w:sz w:val="24"/>
          <w:szCs w:val="24"/>
          <w14:textFill>
            <w14:solidFill>
              <w14:schemeClr w14:val="tx1"/>
            </w14:solidFill>
          </w14:textFill>
        </w:rPr>
        <w:t>4620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отчета (ф.0503123) равняется сумме </w:t>
      </w:r>
      <w:r>
        <w:fldChar w:fldCharType="begin"/>
      </w:r>
      <w:r>
        <w:instrText xml:space="preserve"> HYPERLINK "consultantplus://offline/ref=827AC9A5E62DFDDB7D04897F3119B8BA47CEE20C384A92A7311A1AF96C7C502A7D3D2E43998BFD5A608B1FF2B39BCBE58DD66AFA0774D0AFw8EDL" </w:instrText>
      </w:r>
      <w:r>
        <w:fldChar w:fldCharType="separate"/>
      </w:r>
      <w:r>
        <w:rPr>
          <w:rFonts w:ascii="Times New Roman" w:hAnsi="Times New Roman" w:cs="Times New Roman"/>
          <w:color w:val="000000" w:themeColor="text1"/>
          <w:sz w:val="24"/>
          <w:szCs w:val="24"/>
          <w14:textFill>
            <w14:solidFill>
              <w14:schemeClr w14:val="tx1"/>
            </w14:solidFill>
          </w14:textFill>
        </w:rPr>
        <w:t>строк 700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и </w:t>
      </w:r>
      <w:r>
        <w:fldChar w:fldCharType="begin"/>
      </w:r>
      <w:r>
        <w:instrText xml:space="preserve"> HYPERLINK "consultantplus://offline/ref=827AC9A5E62DFDDB7D04897F3119B8BA47CEE20C384A92A7311A1AF96C7C502A7D3D2E43998BFD5A6B8B1FF2B39BCBE58DD66AFA0774D0AFw8EDL" </w:instrText>
      </w:r>
      <w:r>
        <w:fldChar w:fldCharType="separate"/>
      </w:r>
      <w:r>
        <w:rPr>
          <w:rFonts w:ascii="Times New Roman" w:hAnsi="Times New Roman" w:cs="Times New Roman"/>
          <w:color w:val="000000" w:themeColor="text1"/>
          <w:sz w:val="24"/>
          <w:szCs w:val="24"/>
          <w14:textFill>
            <w14:solidFill>
              <w14:schemeClr w14:val="tx1"/>
            </w14:solidFill>
          </w14:textFill>
        </w:rPr>
        <w:t>810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граф 5 и 6 Отчета (ф.0503127) без учета остатков в кассе.</w:t>
      </w:r>
    </w:p>
    <w:p w14:paraId="734E0789">
      <w:pPr>
        <w:spacing w:after="72" w:afterLines="30" w:line="240" w:lineRule="auto"/>
        <w:ind w:firstLine="56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4.4. Справка по консолидируемым расчетам (ф.0503125)</w:t>
      </w:r>
    </w:p>
    <w:p w14:paraId="24D15CF5">
      <w:pPr>
        <w:tabs>
          <w:tab w:val="left" w:pos="1760"/>
        </w:tabs>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п.23 Инструкции №191н справка по консолидируемым расчетам формируется для определения взаимосвязанных показателей, подлежащих исключению при формировании финансовым органом, консолидированных форм бюджетной отчетности и представляется на 1 января года, следующего за отчетным, по денежным и неденежным расчетам.</w:t>
      </w:r>
    </w:p>
    <w:p w14:paraId="43B04110">
      <w:pPr>
        <w:tabs>
          <w:tab w:val="left" w:pos="1760"/>
        </w:tabs>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(ф.0503125) составлена нарастающим итогом с начала финансового года на основании данных, отраженных на отчетную дату на соответствующих счетах: 120551661 «Уменьшение дебиторской задолженности по поступлениям текущего характера от других бюджетов бюджетной системы Российской Федерации», 140110151 «Доходы от поступлений текущего характера от других бюджетов бюджетной системы Российской Федерации», 120551000 «Расчеты по поступлениям текущего характера от других бюджетов бюджетной системы Российской Федерации», 140110195 «Доходы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 120551561</w:t>
      </w:r>
      <w:r>
        <w:rPr>
          <w:rFonts w:ascii="Times New Roman" w:hAnsi="Times New Roman"/>
          <w:color w:val="000000" w:themeColor="text1"/>
          <w:sz w:val="24"/>
          <w:szCs w:val="24"/>
          <w14:textFill>
            <w14:solidFill>
              <w14:schemeClr w14:val="tx1"/>
            </w14:solidFill>
          </w14:textFill>
        </w:rPr>
        <w:t xml:space="preserve"> «Увеличение дебиторской задолженности по поступлениям текущего характера от других бюджетов бюджетной системы Российской Федерации»,</w:t>
      </w:r>
      <w:r>
        <w:rPr>
          <w:rFonts w:ascii="Times New Roman" w:hAnsi="Times New Roman" w:cs="Times New Roman"/>
          <w:color w:val="000000" w:themeColor="text1"/>
          <w:sz w:val="24"/>
          <w:szCs w:val="24"/>
          <w14:textFill>
            <w14:solidFill>
              <w14:schemeClr w14:val="tx1"/>
            </w14:solidFill>
          </w14:textFill>
        </w:rPr>
        <w:t>140149151</w:t>
      </w:r>
      <w:r>
        <w:rPr>
          <w:rFonts w:ascii="Times New Roman" w:hAnsi="Times New Roman"/>
          <w:color w:val="000000" w:themeColor="text1"/>
          <w:sz w:val="24"/>
          <w:szCs w:val="24"/>
          <w14:textFill>
            <w14:solidFill>
              <w14:schemeClr w14:val="tx1"/>
            </w14:solidFill>
          </w14:textFill>
        </w:rPr>
        <w:t xml:space="preserve"> «Доходы будущих периодов от поступлений текущего характера от других бюджетов бюджетной системы Российской Федерации», 140120281 «Расходы на безвозмездные перечисления капитального характера государственным (муниципальным) учреждениям».</w:t>
      </w:r>
    </w:p>
    <w:p w14:paraId="42A5C05F">
      <w:pPr>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сопоставлении данных, содержащихся в Справке (ф.0503125), с показателями по соответствующим счетам, отраженным в Главной книге за 2024 год, нарушения не установлены.</w:t>
      </w:r>
    </w:p>
    <w:p w14:paraId="163CE6F8">
      <w:pPr>
        <w:spacing w:after="6"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4.5.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240A036A">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Отчет раскрывает бюджетную </w:t>
      </w:r>
      <w:r>
        <w:fldChar w:fldCharType="begin"/>
      </w:r>
      <w:r>
        <w:instrText xml:space="preserve"> HYPERLINK "consultantplus://offline/ref=FF3DB571B2F08C93F47E057097A9F3D75329E5619206DA4B28C691DD3EF6BE472DB07AEE7B5DD32ED77D0113CBB4D33D5860C924B24DF3B3Y0E9M" </w:instrText>
      </w:r>
      <w:r>
        <w:fldChar w:fldCharType="separate"/>
      </w:r>
      <w:r>
        <w:rPr>
          <w:rFonts w:ascii="Times New Roman" w:hAnsi="Times New Roman" w:cs="Times New Roman"/>
          <w:color w:val="000000" w:themeColor="text1"/>
          <w:sz w:val="24"/>
          <w:szCs w:val="24"/>
          <w14:textFill>
            <w14:solidFill>
              <w14:schemeClr w14:val="tx1"/>
            </w14:solidFill>
          </w14:textFill>
        </w:rPr>
        <w:t>информацию</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и обеспечивает сопоставление утвержденных (доведенных) бюджетных назначений с данными об исполнении бюджета. При заполнении документа руководствуются </w:t>
      </w:r>
      <w:r>
        <w:fldChar w:fldCharType="begin"/>
      </w:r>
      <w:r>
        <w:instrText xml:space="preserve"> HYPERLINK "consultantplus://offline/ref=FF3DB571B2F08C93F47E057097A9F3D7532AE66E9508DA4B28C691DD3EF6BE472DB07AEE7B5DD725D77D0113CBB4D33D5860C924B24DF3B3Y0E9M" </w:instrText>
      </w:r>
      <w:r>
        <w:fldChar w:fldCharType="separate"/>
      </w:r>
      <w:r>
        <w:rPr>
          <w:rFonts w:ascii="Times New Roman" w:hAnsi="Times New Roman" w:cs="Times New Roman"/>
          <w:color w:val="000000" w:themeColor="text1"/>
          <w:sz w:val="24"/>
          <w:szCs w:val="24"/>
          <w14:textFill>
            <w14:solidFill>
              <w14:schemeClr w14:val="tx1"/>
            </w14:solidFill>
          </w14:textFill>
        </w:rPr>
        <w:t>п.п.52</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 </w:t>
      </w:r>
      <w:r>
        <w:fldChar w:fldCharType="begin"/>
      </w:r>
      <w:r>
        <w:instrText xml:space="preserve"> HYPERLINK "consultantplus://offline/ref=FF3DB571B2F08C93F47E057097A9F3D7532AE66E9508DA4B28C691DD3EF6BE472DB07AEE7B5DD62FD37D0113CBB4D33D5860C924B24DF3B3Y0E9M" </w:instrText>
      </w:r>
      <w:r>
        <w:fldChar w:fldCharType="separate"/>
      </w:r>
      <w:r>
        <w:rPr>
          <w:rFonts w:ascii="Times New Roman" w:hAnsi="Times New Roman" w:cs="Times New Roman"/>
          <w:color w:val="000000" w:themeColor="text1"/>
          <w:sz w:val="24"/>
          <w:szCs w:val="24"/>
          <w14:textFill>
            <w14:solidFill>
              <w14:schemeClr w14:val="tx1"/>
            </w14:solidFill>
          </w14:textFill>
        </w:rPr>
        <w:t>59</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w:t>
      </w:r>
      <w:r>
        <w:fldChar w:fldCharType="begin"/>
      </w:r>
      <w:r>
        <w:instrText xml:space="preserve"> HYPERLINK "consultantplus://offline/ref=FF3DB571B2F08C93F47E057097A9F3D7532AE66E9508DA4B28C691DD3EF6BE472DB07AEE7B5DD628D47D0113CBB4D33D5860C924B24DF3B3Y0E9M" </w:instrText>
      </w:r>
      <w:r>
        <w:fldChar w:fldCharType="separate"/>
      </w:r>
      <w:r>
        <w:rPr>
          <w:rFonts w:ascii="Times New Roman" w:hAnsi="Times New Roman" w:cs="Times New Roman"/>
          <w:color w:val="000000" w:themeColor="text1"/>
          <w:sz w:val="24"/>
          <w:szCs w:val="24"/>
          <w14:textFill>
            <w14:solidFill>
              <w14:schemeClr w14:val="tx1"/>
            </w14:solidFill>
          </w14:textFill>
        </w:rPr>
        <w:t>60</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 </w:t>
      </w:r>
      <w:r>
        <w:fldChar w:fldCharType="begin"/>
      </w:r>
      <w:r>
        <w:instrText xml:space="preserve"> HYPERLINK "consultantplus://offline/ref=FF3DB571B2F08C93F47E057097A9F3D7532AE66E9508DA4B28C691DD3EF6BE472DB07AE87956877D902358418FFFDE3D467CC925YAEDM" </w:instrText>
      </w:r>
      <w:r>
        <w:fldChar w:fldCharType="separate"/>
      </w:r>
      <w:r>
        <w:rPr>
          <w:rFonts w:ascii="Times New Roman" w:hAnsi="Times New Roman" w:cs="Times New Roman"/>
          <w:color w:val="000000" w:themeColor="text1"/>
          <w:sz w:val="24"/>
          <w:szCs w:val="24"/>
          <w14:textFill>
            <w14:solidFill>
              <w14:schemeClr w14:val="tx1"/>
            </w14:solidFill>
          </w14:textFill>
        </w:rPr>
        <w:t>62</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Инструкции №191н.</w:t>
      </w:r>
    </w:p>
    <w:p w14:paraId="547B84BD">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Показатели по строке 500 раздела «Источники финансирования дефицита бюджета» в графах 5, 6, 7, 8 равны показателям, отраженным по строке 450 в графах 6, 7, 8, 9 соответственно, с противоположным знаком.</w:t>
      </w:r>
    </w:p>
    <w:p w14:paraId="14DD935A">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Показатели Отчета (ф.0503127) сопоставимы с показателями Отчета (ф.0503123) (отчет показывает движение денежных средств на счетах учреждения).</w:t>
      </w:r>
    </w:p>
    <w:p w14:paraId="6A363F81">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Показатели граф 4, 5 и 9 разд. 2 и 3 Отчета (ф.0503127) сопоставимы с показателями граф 4, 5 и 10 разд. 1 и 2 Отчета (ф.0503128) соответственно.</w:t>
      </w:r>
    </w:p>
    <w:p w14:paraId="6A9E4EBF">
      <w:pPr>
        <w:pStyle w:val="10"/>
        <w:spacing w:before="0" w:beforeAutospacing="0" w:after="0" w:afterAutospacing="0"/>
        <w:ind w:firstLine="567"/>
        <w:jc w:val="both"/>
        <w:rPr>
          <w:rFonts w:eastAsiaTheme="minorHAnsi"/>
          <w:color w:val="000000" w:themeColor="text1"/>
          <w:lang w:eastAsia="en-US"/>
          <w14:textFill>
            <w14:solidFill>
              <w14:schemeClr w14:val="tx1"/>
            </w14:solidFill>
          </w14:textFill>
        </w:rPr>
      </w:pPr>
      <w:r>
        <w:rPr>
          <w:rFonts w:eastAsiaTheme="minorHAnsi"/>
          <w:color w:val="000000" w:themeColor="text1"/>
          <w:lang w:eastAsia="en-US"/>
          <w14:textFill>
            <w14:solidFill>
              <w14:schemeClr w14:val="tx1"/>
            </w14:solidFill>
          </w14:textFill>
        </w:rPr>
        <w:t>Сумма доходов, отраженная в Отчете (ф.0503127) по разделу «Доходы бюджета - всего» в графе 5 «Исполнено, через финансовые органы» – 6053408,12 руб</w:t>
      </w:r>
      <w:r>
        <w:rPr>
          <w:rFonts w:hint="default" w:eastAsiaTheme="minorHAnsi"/>
          <w:color w:val="000000" w:themeColor="text1"/>
          <w:lang w:val="ru-RU" w:eastAsia="en-US"/>
          <w14:textFill>
            <w14:solidFill>
              <w14:schemeClr w14:val="tx1"/>
            </w14:solidFill>
          </w14:textFill>
        </w:rPr>
        <w:t>.</w:t>
      </w:r>
      <w:r>
        <w:rPr>
          <w:rFonts w:eastAsiaTheme="minorHAnsi"/>
          <w:color w:val="000000" w:themeColor="text1"/>
          <w:lang w:eastAsia="en-US"/>
          <w14:textFill>
            <w14:solidFill>
              <w14:schemeClr w14:val="tx1"/>
            </w14:solidFill>
          </w14:textFill>
        </w:rPr>
        <w:t xml:space="preserve"> соответствует </w:t>
      </w:r>
      <w:r>
        <w:rPr>
          <w:color w:val="000000" w:themeColor="text1"/>
          <w14:textFill>
            <w14:solidFill>
              <w14:schemeClr w14:val="tx1"/>
            </w14:solidFill>
          </w14:textFill>
        </w:rPr>
        <w:t>кредитовым оборотам</w:t>
      </w:r>
      <w:r>
        <w:rPr>
          <w:rFonts w:eastAsiaTheme="minorHAnsi"/>
          <w:color w:val="000000" w:themeColor="text1"/>
          <w:lang w:eastAsia="en-US"/>
          <w14:textFill>
            <w14:solidFill>
              <w14:schemeClr w14:val="tx1"/>
            </w14:solidFill>
          </w14:textFill>
        </w:rPr>
        <w:t xml:space="preserve"> по соответствующим счетам счета 210.02 «Расчеты с финансовым органом по поступлениям в бюджет» в главных книгах за 2024 год с учетом остатка средств на начало года.</w:t>
      </w:r>
    </w:p>
    <w:p w14:paraId="3BA1D540">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Сумма расходов, отраженная в Отчете (ф.0503127) по разделу «Расходы бюджета - всего» в графе 6 «Исполнено, через финансовые органы» – 145627849,42 руб</w:t>
      </w:r>
      <w:r>
        <w:rPr>
          <w:rFonts w:hint="default" w:ascii="Times New Roman" w:hAnsi="Times New Roman" w:cs="Times New Roman"/>
          <w:color w:val="000000" w:themeColor="text1"/>
          <w:sz w:val="24"/>
          <w:szCs w:val="24"/>
          <w:lang w:val="ru-RU"/>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соответствует кредитовым оборотам по соответствующим счетам счета 304.05 «Расчеты по платежам из бюджета с финансовым органом» в главных книгах за 2024 год с учетом возвратов на общую сумму 1410367,05 руб.</w:t>
      </w:r>
    </w:p>
    <w:p w14:paraId="3E5A8231">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п.59.1 Инструкции №191н сформирована дополнительная ф.0503127 содержащая данные о бюджетных назначениях по доходам, расходам, источникам финансирования дефицита бюджета. Нарушения не выявлены.</w:t>
      </w:r>
    </w:p>
    <w:p w14:paraId="4F2119D7">
      <w:pPr>
        <w:spacing w:after="0" w:line="240" w:lineRule="auto"/>
        <w:ind w:firstLine="567"/>
        <w:jc w:val="both"/>
        <w:rPr>
          <w:rFonts w:ascii="Times New Roman" w:hAnsi="Times New Roman" w:cs="Times New Roman"/>
          <w:color w:val="376092" w:themeColor="accent1" w:themeShade="BF"/>
          <w:sz w:val="16"/>
          <w:szCs w:val="16"/>
          <w:highlight w:val="yellow"/>
        </w:rPr>
      </w:pPr>
    </w:p>
    <w:p w14:paraId="4205C9DF">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4.6. Отчет о бюджетных обязательствах (ф.0503128)</w:t>
      </w:r>
    </w:p>
    <w:p w14:paraId="7B015414">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Отчет составлен на основании данных о принятых и исполненных бюджетных обязательствах и представлен по состоянию на 01.01.2025г. Показатели отражены на основании данных об обязательствах, подлежащих исполнению в 2024 году (п.п.68, 69 Инструкции №191н). Отчет заполнен в порядке, приведенном в п.п.70, 71 - 73 Инструкции №191н.</w:t>
      </w:r>
    </w:p>
    <w:p w14:paraId="09B3FDDE">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 разделу 1 «Бюджетные обязательства текущего (отчетного) финансового года по расходам»:</w:t>
      </w:r>
    </w:p>
    <w:p w14:paraId="06671704">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графа 4 в части доведенных бюджетных ассигнований заполнена на основании данных по кредитовому обороту соответствующих счетов аналитического учета счета 0.503.13 «Бюджетные ассигнования получателей бюджетных средств и администраторов выплат по источникам текущего финансового года»;</w:t>
      </w:r>
    </w:p>
    <w:p w14:paraId="61C92F27">
      <w:pPr>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в графе 5 отражались показатели лимитов бюджетных обязательств, доведенных себе как получателю бюджетных средств за отчетный период с учетом изменений: кредит соответствующих счетов аналитического учета счета 501.13 «Лимиты бюджетных обязательств получателей бюджетных средств текущего финансового года» в корреспонденции с дебетом соответствующих счетов аналитического учета счета 501.15 «Полученные лимиты бюджетных обязательств (на текущий финансовый год)». Нарушений не установлено.</w:t>
      </w:r>
    </w:p>
    <w:p w14:paraId="7FAA32AB">
      <w:pPr>
        <w:spacing w:after="0" w:line="240" w:lineRule="auto"/>
        <w:ind w:firstLine="567"/>
        <w:jc w:val="both"/>
        <w:rPr>
          <w:rFonts w:ascii="Times New Roman" w:hAnsi="Times New Roman" w:cs="Times New Roman"/>
          <w:color w:val="376092" w:themeColor="accent1" w:themeShade="BF"/>
          <w:sz w:val="24"/>
          <w:szCs w:val="24"/>
        </w:rPr>
      </w:pPr>
      <w:r>
        <w:rPr>
          <w:rFonts w:ascii="Times New Roman" w:hAnsi="Times New Roman" w:cs="Times New Roman"/>
          <w:color w:val="000000" w:themeColor="text1"/>
          <w:sz w:val="24"/>
          <w:szCs w:val="24"/>
          <w14:textFill>
            <w14:solidFill>
              <w14:schemeClr w14:val="tx1"/>
            </w14:solidFill>
          </w14:textFill>
        </w:rPr>
        <w:t>Показатели граф 4, 5 и 10 разд. 1 и 2 Отчета (ф.0503128) сопоставимы с показателями граф 4, 5 и 9 Отчета (ф.0503127) соответственно (п.73 Инструкции №191н).</w:t>
      </w:r>
      <w:r>
        <w:rPr>
          <w:rFonts w:ascii="Times New Roman" w:hAnsi="Times New Roman" w:cs="Times New Roman"/>
          <w:color w:val="376092" w:themeColor="accent1" w:themeShade="BF"/>
          <w:sz w:val="24"/>
          <w:szCs w:val="24"/>
        </w:rPr>
        <w:t xml:space="preserve"> </w:t>
      </w:r>
    </w:p>
    <w:p w14:paraId="4DB0B136">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Бюджетные ассигнования по расходам в сумме 146229243,50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утвержденные сводной бюджетной росписью от 28.12.2024 г. соответствуют гр. 4, 5 раздела 1 «</w:t>
      </w:r>
      <w:r>
        <w:fldChar w:fldCharType="begin"/>
      </w:r>
      <w:r>
        <w:instrText xml:space="preserve"> HYPERLINK "consultantplus://offline/ref=4D973BE1B9845E6C6757B7A303DB4D29A2999F46B219EB80A89B45DBBAE6BD776605CB2664E1C3F48DD924C9E97291BBF162BF4D5395BDk764J" </w:instrText>
      </w:r>
      <w:r>
        <w:fldChar w:fldCharType="separate"/>
      </w:r>
      <w:r>
        <w:rPr>
          <w:rFonts w:ascii="Times New Roman" w:hAnsi="Times New Roman" w:cs="Times New Roman"/>
          <w:color w:val="000000" w:themeColor="text1"/>
          <w:sz w:val="24"/>
          <w:szCs w:val="24"/>
          <w14:textFill>
            <w14:solidFill>
              <w14:schemeClr w14:val="tx1"/>
            </w14:solidFill>
          </w14:textFill>
        </w:rPr>
        <w:t>Бюджетные обязательства</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текущего (отчетного) финансового года по расходам» Отчета (ф.0503128).</w:t>
      </w:r>
    </w:p>
    <w:p w14:paraId="06934EC0">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п.70.1 Инструкции №191н в целях формирования сводного Отчета (ф.0503128) дополнительно сформирован отчет (ф.0503128 о бюджетных назначениях) в части граф 4 и 5 на суммы нераспределенных бюджетных назначений (бюджетных ассигнований, лимитов бюджетных обязательств). Нарушения не выявлены.</w:t>
      </w:r>
    </w:p>
    <w:p w14:paraId="08685936">
      <w:pPr>
        <w:spacing w:after="72" w:afterLines="30" w:line="240" w:lineRule="auto"/>
        <w:ind w:firstLine="540" w:firstLineChars="225"/>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Согласно п.73.1 Инструкции №191н </w:t>
      </w:r>
      <w:r>
        <w:rPr>
          <w:rFonts w:ascii="Times New Roman" w:hAnsi="Times New Roman" w:cs="Times New Roman"/>
          <w:color w:val="000000" w:themeColor="text1"/>
          <w:sz w:val="24"/>
          <w:szCs w:val="24"/>
          <w14:textFill>
            <w14:solidFill>
              <w14:schemeClr w14:val="tx1"/>
            </w14:solidFill>
          </w14:textFill>
        </w:rPr>
        <w:t>Отчет о бюджетных обязательствах (ф.0503128-НП) сформирован по данным о ходе реализации национальных проектов (программа по МКУК «Центр народной культуры» премии и гранты), по разделам «</w:t>
      </w:r>
      <w:r>
        <w:fldChar w:fldCharType="begin"/>
      </w:r>
      <w:r>
        <w:instrText xml:space="preserve"> HYPERLINK "https://login.consultant.ru/link/?req=doc&amp;base=LAW&amp;n=467434&amp;dst=16724" </w:instrText>
      </w:r>
      <w:r>
        <w:fldChar w:fldCharType="separate"/>
      </w:r>
      <w:r>
        <w:rPr>
          <w:rFonts w:ascii="Times New Roman" w:hAnsi="Times New Roman" w:cs="Times New Roman"/>
          <w:color w:val="000000" w:themeColor="text1"/>
          <w:sz w:val="24"/>
          <w:szCs w:val="24"/>
          <w14:textFill>
            <w14:solidFill>
              <w14:schemeClr w14:val="tx1"/>
            </w14:solidFill>
          </w14:textFill>
        </w:rPr>
        <w:t>Бюджетные обязательства</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текущего (отчетного) финансового года по расходам» (58726,80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Нарушений не выявлено.</w:t>
      </w:r>
    </w:p>
    <w:p w14:paraId="1D77C056">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4.7.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7CD11AB5">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Баланс (ф.0503130) содержит данные о нефинансовых и финансовых активах, обязательствах на первый и последний день отчетного периода по счетам бюджетного учета.</w:t>
      </w:r>
    </w:p>
    <w:p w14:paraId="49D69689">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п.13 Инструкции №191н показатели в Балансе (ф.0503130) отражены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w:t>
      </w:r>
    </w:p>
    <w:p w14:paraId="6168DCB1">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 исполнение п.14-15 Инструкции №191н в Балансе (ф.0503130) в графах «На начало года» показаны данные стоимости активов, обязательств, финансовом результате на начало года, которые соответствуют данным граф «На конец отчетного периода» предыдущего года. В графах «На конец отчетного периода» отражены данные по состоянию на 01.01.2025 г. с учетом проведенных при завершении финансового года заключительных оборотов по счетам бюджетного учета.</w:t>
      </w:r>
    </w:p>
    <w:p w14:paraId="1F2F0549">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Показатели строки 700 Баланса (ф.0503130) соответствуют идентичным показателям строки 350.</w:t>
      </w:r>
    </w:p>
    <w:p w14:paraId="62CAE862">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Данные Баланса (ф.0503130) сопоставимы с показателями сведений о движении нефинансовых активов (ф.0503168) и сведений по дебиторской и кредиторской задолженности (ф.0503169).</w:t>
      </w:r>
    </w:p>
    <w:p w14:paraId="558FBFDE">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составе Баланса (ф.0503130) сформирована справка о наличии имущества и обязательств на забалансовых счетах на начало и конец периода.</w:t>
      </w:r>
    </w:p>
    <w:p w14:paraId="1E589A71">
      <w:pPr>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проверке контрольных соотношений показателей между формами отчетности, а именно баланса ф.0503130 и ф.0503110, ф.0503121, ф.0503168, ф.0503169 расхождения не установлены.</w:t>
      </w:r>
    </w:p>
    <w:p w14:paraId="232F6BB4">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4.8. Пояснительная записка (ф.0503160)</w:t>
      </w:r>
    </w:p>
    <w:p w14:paraId="53325A05">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п.152 Инструкции №191н Пояснительная записка составлена в разрезе следующих разделов:</w:t>
      </w:r>
    </w:p>
    <w:p w14:paraId="68923476">
      <w:pPr>
        <w:spacing w:after="0" w:line="240" w:lineRule="auto"/>
        <w:ind w:firstLine="56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1 «Организационная структура субъекта бюджетной отчетности» содержит:</w:t>
      </w:r>
    </w:p>
    <w:p w14:paraId="6B3EA8FA">
      <w:pPr>
        <w:spacing w:after="0" w:line="240" w:lineRule="auto"/>
        <w:ind w:firstLine="539"/>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Сведения о наличии муниципальных учреждений – 8 подведомственных учреждений;</w:t>
      </w:r>
    </w:p>
    <w:p w14:paraId="7CDB0915">
      <w:pPr>
        <w:spacing w:after="0" w:line="240" w:lineRule="auto"/>
        <w:ind w:firstLine="539"/>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Сведения о централизованной бухгалтерии – отражена информация о наличии договора о ведении бухгалтерского учета от 11.01.2021 №1, информация об исполнителе централизованной бухгалтерии, составившего бухгалтерскую отчетность – Книжникова Татьяна Павловна.</w:t>
      </w:r>
    </w:p>
    <w:p w14:paraId="4A5F6153">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fldChar w:fldCharType="begin"/>
      </w:r>
      <w:r>
        <w:instrText xml:space="preserve"> HYPERLINK "https://login.consultant.ru/link/?req=doc&amp;base=LAW&amp;n=467434&amp;dst=26189" </w:instrText>
      </w:r>
      <w:r>
        <w:fldChar w:fldCharType="separate"/>
      </w:r>
      <w:r>
        <w:rPr>
          <w:rFonts w:ascii="Times New Roman" w:hAnsi="Times New Roman" w:eastAsia="Times New Roman"/>
          <w:color w:val="000000" w:themeColor="text1"/>
          <w:sz w:val="24"/>
          <w:szCs w:val="24"/>
          <w14:textFill>
            <w14:solidFill>
              <w14:schemeClr w14:val="tx1"/>
            </w14:solidFill>
          </w14:textFill>
        </w:rPr>
        <w:t>Сведения</w:t>
      </w:r>
      <w:r>
        <w:rPr>
          <w:rFonts w:ascii="Times New Roman" w:hAnsi="Times New Roman" w:eastAsia="Times New Roman"/>
          <w:color w:val="000000" w:themeColor="text1"/>
          <w:sz w:val="24"/>
          <w:szCs w:val="24"/>
          <w14:textFill>
            <w14:solidFill>
              <w14:schemeClr w14:val="tx1"/>
            </w14:solidFill>
          </w14:textFill>
        </w:rPr>
        <w:fldChar w:fldCharType="end"/>
      </w:r>
      <w:r>
        <w:rPr>
          <w:rFonts w:ascii="Times New Roman" w:hAnsi="Times New Roman" w:eastAsia="Times New Roman"/>
          <w:color w:val="000000" w:themeColor="text1"/>
          <w:sz w:val="24"/>
          <w:szCs w:val="24"/>
          <w14:textFill>
            <w14:solidFill>
              <w14:schemeClr w14:val="tx1"/>
            </w14:solidFill>
          </w14:textFill>
        </w:rPr>
        <w:t xml:space="preserve"> об организационной структуре субъекта бюджетной отчетности (Таблица №11) предоставлена согласно п. 159.4 Инструкции № 191н. </w:t>
      </w:r>
      <w:r>
        <w:rPr>
          <w:rFonts w:ascii="Times New Roman" w:hAnsi="Times New Roman" w:cs="Times New Roman"/>
          <w:color w:val="000000" w:themeColor="text1"/>
          <w:sz w:val="24"/>
          <w:szCs w:val="24"/>
          <w14:textFill>
            <w14:solidFill>
              <w14:schemeClr w14:val="tx1"/>
            </w14:solidFill>
          </w14:textFill>
        </w:rPr>
        <w:t>Нарушения при заполнении таблицы не выявлены.</w:t>
      </w:r>
    </w:p>
    <w:p w14:paraId="6CB89296">
      <w:pPr>
        <w:autoSpaceDE w:val="0"/>
        <w:autoSpaceDN w:val="0"/>
        <w:adjustRightInd w:val="0"/>
        <w:spacing w:after="0" w:line="240" w:lineRule="auto"/>
        <w:ind w:firstLine="56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2 «Результаты деятельности субъекта бюджетной отчетности»:</w:t>
      </w:r>
    </w:p>
    <w:p w14:paraId="3FA8468C">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Сведения о результатах деятельности субъекта бюджетной отчетности (Таблица №12) </w:t>
      </w:r>
      <w:r>
        <w:rPr>
          <w:rFonts w:ascii="Times New Roman" w:hAnsi="Times New Roman" w:eastAsia="Times New Roman"/>
          <w:color w:val="000000" w:themeColor="text1"/>
          <w:sz w:val="24"/>
          <w:szCs w:val="24"/>
          <w14:textFill>
            <w14:solidFill>
              <w14:schemeClr w14:val="tx1"/>
            </w14:solidFill>
          </w14:textFill>
        </w:rPr>
        <w:t xml:space="preserve">предоставлена согласно п. 159.5 Инструкции № 191н. </w:t>
      </w:r>
      <w:r>
        <w:rPr>
          <w:rFonts w:ascii="Times New Roman" w:hAnsi="Times New Roman" w:cs="Times New Roman"/>
          <w:color w:val="000000" w:themeColor="text1"/>
          <w:sz w:val="24"/>
          <w:szCs w:val="24"/>
          <w14:textFill>
            <w14:solidFill>
              <w14:schemeClr w14:val="tx1"/>
            </w14:solidFill>
          </w14:textFill>
        </w:rPr>
        <w:t>Нарушения при заполнении таблицы не выявлены.</w:t>
      </w:r>
    </w:p>
    <w:p w14:paraId="75BEAFC9">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Представлена информация о техническом состоянии имущества и эффективности его использования.</w:t>
      </w:r>
    </w:p>
    <w:p w14:paraId="3E89734F">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3 «Анализ отчета об исполнении бюджета субъектом бюджетной отчетности» содержит:</w:t>
      </w:r>
    </w:p>
    <w:p w14:paraId="7EF441B8">
      <w:pPr>
        <w:spacing w:after="0" w:line="240" w:lineRule="auto"/>
        <w:ind w:firstLine="53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Сведения об исполнении бюджета (ф.0503164) составлены на основе показателей отчета об исполнении бюджета (ф.0503127), процент исполнения по доходам составил – 104,37%, по расходам - 99,59%. </w:t>
      </w:r>
    </w:p>
    <w:p w14:paraId="6979AB74">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Анализ отчета об исполнении бюджета субъектом бюджетной отчетности (Таблица №13) </w:t>
      </w:r>
      <w:r>
        <w:rPr>
          <w:rFonts w:ascii="Times New Roman" w:hAnsi="Times New Roman" w:eastAsia="Times New Roman"/>
          <w:color w:val="000000" w:themeColor="text1"/>
          <w:sz w:val="24"/>
          <w:szCs w:val="24"/>
          <w14:textFill>
            <w14:solidFill>
              <w14:schemeClr w14:val="tx1"/>
            </w14:solidFill>
          </w14:textFill>
        </w:rPr>
        <w:t xml:space="preserve">представлен ГРБС в соответствие с п.159.6 Инструкции №191н. Содержит аналитическую информацию об исполнении бюджета в соответствии с показателями и причинами отклонений неисполненных назначений. </w:t>
      </w:r>
      <w:r>
        <w:rPr>
          <w:rFonts w:ascii="Times New Roman" w:hAnsi="Times New Roman" w:cs="Times New Roman"/>
          <w:color w:val="000000" w:themeColor="text1"/>
          <w:sz w:val="24"/>
          <w:szCs w:val="24"/>
          <w14:textFill>
            <w14:solidFill>
              <w14:schemeClr w14:val="tx1"/>
            </w14:solidFill>
          </w14:textFill>
        </w:rPr>
        <w:t>Нарушения при заполнении таблицы не выявлены.</w:t>
      </w:r>
    </w:p>
    <w:p w14:paraId="70A63E5B">
      <w:pPr>
        <w:autoSpaceDE w:val="0"/>
        <w:autoSpaceDN w:val="0"/>
        <w:adjustRightInd w:val="0"/>
        <w:spacing w:after="0" w:line="240" w:lineRule="auto"/>
        <w:ind w:firstLine="56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4 «Анализ показателей бухгалтерской отчетности субъекта бюджетной отчетности»:</w:t>
      </w:r>
    </w:p>
    <w:p w14:paraId="1F38C0DE">
      <w:pPr>
        <w:pStyle w:val="15"/>
        <w:tabs>
          <w:tab w:val="left" w:pos="284"/>
        </w:tabs>
        <w:autoSpaceDE w:val="0"/>
        <w:autoSpaceDN w:val="0"/>
        <w:adjustRightInd w:val="0"/>
        <w:spacing w:after="0" w:line="240" w:lineRule="auto"/>
        <w:ind w:left="0"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 соответствии с п.166 Инструкции №191н Сведения о движении нефинансовых активов (ф.0503168) содержит обобщенную информацию за 2024 год о движении нефинансовых активов.</w:t>
      </w:r>
    </w:p>
    <w:p w14:paraId="7377289E">
      <w:pPr>
        <w:pStyle w:val="15"/>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Стоимость нефинансовых активов по состоянию на 01.01.2024г. и 01.01.2025 г. в разрезе счетов бюджетного учета составила:</w:t>
      </w:r>
    </w:p>
    <w:p w14:paraId="5A910CE2">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0.101.00 «Основные средства» - 112003969,56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и 115666070,53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что соответствует данным стр.010 Баланса (ф.0503130);</w:t>
      </w:r>
    </w:p>
    <w:p w14:paraId="520AC121">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0.102.00 «Нематериальные активы» 145989,00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и 145989,00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что соответствует данным стр.040 Баланса (ф.0503130);</w:t>
      </w:r>
    </w:p>
    <w:p w14:paraId="240B620A">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0.103.00 «Земля» 1778238,90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и 2032160,12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что соответствует данным стр.070 Баланса (ф.0503130);</w:t>
      </w:r>
    </w:p>
    <w:p w14:paraId="5986AE17">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0.104.00 «Амортизация» - 93184403,28 рубля и 97690897,40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что соответствует данным стр.021 Баланса (ф.0503130);</w:t>
      </w:r>
    </w:p>
    <w:p w14:paraId="0ED7F183">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0.105.00 «Материальные запасы» - 1250467,19 рубля и 2071895,99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что соответствует данным стр.080 Баланса (ф.0503130);</w:t>
      </w:r>
    </w:p>
    <w:p w14:paraId="0277D63C">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0.111.60 «Права пользования нематериальными активами» - 573060,00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и 573060,00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и 0.104.6</w:t>
      </w:r>
      <w:r>
        <w:rPr>
          <w:rFonts w:ascii="Times New Roman" w:hAnsi="Times New Roman" w:cs="Times New Roman"/>
          <w:color w:val="000000" w:themeColor="text1"/>
          <w:sz w:val="24"/>
          <w:szCs w:val="24"/>
          <w:lang w:val="en-US"/>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xml:space="preserve"> «Амортизация прав пользования программным обеспечением и базами данных» - 524760,00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и 524760,00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разница счетов (0.111.60 и 0.104.6</w:t>
      </w:r>
      <w:r>
        <w:rPr>
          <w:rFonts w:ascii="Times New Roman" w:hAnsi="Times New Roman" w:cs="Times New Roman"/>
          <w:color w:val="000000" w:themeColor="text1"/>
          <w:sz w:val="24"/>
          <w:szCs w:val="24"/>
          <w:lang w:val="en-US"/>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 соответствует данным стр.100 Баланса (ф.0503130).</w:t>
      </w:r>
    </w:p>
    <w:p w14:paraId="22FCACD7">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Показатели Отчета (ф.0503168) в графе 4 «Наличие на начало года» и графе 11 «Наличие на конец года» соответствуют данным Баланса (ф.0503130).</w:t>
      </w:r>
    </w:p>
    <w:p w14:paraId="4B26A454">
      <w:pPr>
        <w:pStyle w:val="15"/>
        <w:tabs>
          <w:tab w:val="left" w:pos="284"/>
        </w:tabs>
        <w:autoSpaceDE w:val="0"/>
        <w:autoSpaceDN w:val="0"/>
        <w:adjustRightInd w:val="0"/>
        <w:spacing w:after="0" w:line="240" w:lineRule="auto"/>
        <w:ind w:left="0" w:firstLine="567"/>
        <w:jc w:val="both"/>
        <w:rPr>
          <w:rFonts w:ascii="Times New Roman" w:hAnsi="Times New Roman"/>
          <w:color w:val="376092" w:themeColor="accent1" w:themeShade="BF"/>
          <w:sz w:val="12"/>
          <w:szCs w:val="12"/>
          <w:highlight w:val="yellow"/>
        </w:rPr>
      </w:pPr>
    </w:p>
    <w:p w14:paraId="1D954A8E">
      <w:pPr>
        <w:pStyle w:val="15"/>
        <w:tabs>
          <w:tab w:val="left" w:pos="284"/>
        </w:tabs>
        <w:autoSpaceDE w:val="0"/>
        <w:autoSpaceDN w:val="0"/>
        <w:adjustRightInd w:val="0"/>
        <w:spacing w:after="0" w:line="240" w:lineRule="auto"/>
        <w:ind w:left="0"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w:t>
      </w:r>
      <w:r>
        <w:rPr>
          <w:rFonts w:ascii="Times New Roman" w:hAnsi="Times New Roman" w:cs="Times New Roman"/>
          <w:color w:val="000000" w:themeColor="text1"/>
          <w:sz w:val="24"/>
          <w:szCs w:val="24"/>
          <w14:textFill>
            <w14:solidFill>
              <w14:schemeClr w14:val="tx1"/>
            </w14:solidFill>
          </w14:textFill>
        </w:rPr>
        <w:t xml:space="preserve">соответствии с п.167 Инструкции №191н </w:t>
      </w:r>
      <w:r>
        <w:rPr>
          <w:rFonts w:ascii="Times New Roman" w:hAnsi="Times New Roman"/>
          <w:color w:val="000000" w:themeColor="text1"/>
          <w:sz w:val="24"/>
          <w:szCs w:val="24"/>
          <w14:textFill>
            <w14:solidFill>
              <w14:schemeClr w14:val="tx1"/>
            </w14:solidFill>
          </w14:textFill>
        </w:rPr>
        <w:t>Сведения по дебиторской и кредиторской задолженности (ф.0503169)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w:t>
      </w:r>
    </w:p>
    <w:p w14:paraId="1B9CD2D8">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Дебиторская задолженность по </w:t>
      </w:r>
      <w:r>
        <w:rPr>
          <w:rFonts w:ascii="Times New Roman" w:hAnsi="Times New Roman" w:cs="Times New Roman"/>
          <w:color w:val="000000" w:themeColor="text1"/>
          <w:sz w:val="24"/>
          <w:szCs w:val="24"/>
          <w:u w:val="single"/>
          <w14:textFill>
            <w14:solidFill>
              <w14:schemeClr w14:val="tx1"/>
            </w14:solidFill>
          </w14:textFill>
        </w:rPr>
        <w:t>доходам</w:t>
      </w:r>
      <w:r>
        <w:rPr>
          <w:rFonts w:ascii="Times New Roman" w:hAnsi="Times New Roman" w:cs="Times New Roman"/>
          <w:color w:val="000000" w:themeColor="text1"/>
          <w:sz w:val="24"/>
          <w:szCs w:val="24"/>
          <w14:textFill>
            <w14:solidFill>
              <w14:schemeClr w14:val="tx1"/>
            </w14:solidFill>
          </w14:textFill>
        </w:rPr>
        <w:t xml:space="preserve"> на 01.01.2025г. (сч.</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205.00, 209.00) составила 1722317,95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и соответствуют данным стр.250 Баланса (ф.0503130):</w:t>
      </w:r>
    </w:p>
    <w:p w14:paraId="2842CC95">
      <w:pPr>
        <w:tabs>
          <w:tab w:val="left" w:pos="851"/>
        </w:tabs>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- 1717324,55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по сч.</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205.51 (передача полномочий в сфере культуры муниципального образования «Сельское поселение Капустиноярский сельсовет Ахтубинского муниципального района Астраханской области»);</w:t>
      </w:r>
    </w:p>
    <w:p w14:paraId="420CA466">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- 3956,00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по сч.</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205.21 (задолженность по арендной плате).</w:t>
      </w:r>
    </w:p>
    <w:p w14:paraId="4E69A6FC">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Дебиторская задолженность по </w:t>
      </w:r>
      <w:r>
        <w:rPr>
          <w:rFonts w:ascii="Times New Roman" w:hAnsi="Times New Roman" w:cs="Times New Roman"/>
          <w:color w:val="000000" w:themeColor="text1"/>
          <w:sz w:val="24"/>
          <w:szCs w:val="24"/>
          <w:u w:val="single"/>
          <w14:textFill>
            <w14:solidFill>
              <w14:schemeClr w14:val="tx1"/>
            </w14:solidFill>
          </w14:textFill>
        </w:rPr>
        <w:t>выплатам</w:t>
      </w:r>
      <w:r>
        <w:rPr>
          <w:rFonts w:ascii="Times New Roman" w:hAnsi="Times New Roman" w:cs="Times New Roman"/>
          <w:color w:val="000000" w:themeColor="text1"/>
          <w:sz w:val="24"/>
          <w:szCs w:val="24"/>
          <w14:textFill>
            <w14:solidFill>
              <w14:schemeClr w14:val="tx1"/>
            </w14:solidFill>
          </w14:textFill>
        </w:rPr>
        <w:t xml:space="preserve"> на 01.01.2025г. (206.00, 208.00, 303.00) составила 201974,06 руб</w:t>
      </w:r>
      <w:r>
        <w:rPr>
          <w:rFonts w:hint="default" w:ascii="Times New Roman" w:hAnsi="Times New Roman" w:cs="Times New Roman"/>
          <w:color w:val="000000" w:themeColor="text1"/>
          <w:sz w:val="24"/>
          <w:szCs w:val="24"/>
          <w:lang w:val="ru-RU"/>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и соответствуют данным стр.260 Баланса (ф.0503130):</w:t>
      </w:r>
    </w:p>
    <w:p w14:paraId="369A4856">
      <w:pPr>
        <w:pStyle w:val="15"/>
        <w:tabs>
          <w:tab w:val="left" w:pos="284"/>
        </w:tabs>
        <w:autoSpaceDE w:val="0"/>
        <w:autoSpaceDN w:val="0"/>
        <w:adjustRightInd w:val="0"/>
        <w:spacing w:after="0" w:line="240" w:lineRule="auto"/>
        <w:ind w:left="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- 7201974,06 </w:t>
      </w:r>
      <w:r>
        <w:rPr>
          <w:rFonts w:ascii="Times New Roman" w:hAnsi="Times New Roman"/>
          <w:color w:val="000000" w:themeColor="text1"/>
          <w:sz w:val="24"/>
          <w:szCs w:val="24"/>
          <w:lang w:val="ru-RU"/>
          <w14:textFill>
            <w14:solidFill>
              <w14:schemeClr w14:val="tx1"/>
            </w14:solidFill>
          </w14:textFill>
        </w:rPr>
        <w:t>руб.</w:t>
      </w:r>
      <w:r>
        <w:rPr>
          <w:rFonts w:ascii="Times New Roman" w:hAnsi="Times New Roman"/>
          <w:color w:val="000000" w:themeColor="text1"/>
          <w:sz w:val="24"/>
          <w:szCs w:val="24"/>
          <w14:textFill>
            <w14:solidFill>
              <w14:schemeClr w14:val="tx1"/>
            </w14:solidFill>
          </w14:textFill>
        </w:rPr>
        <w:t xml:space="preserve"> по сч.</w:t>
      </w:r>
      <w:r>
        <w:rPr>
          <w:rFonts w:hint="default" w:ascii="Times New Roman" w:hAnsi="Times New Roman"/>
          <w:color w:val="000000" w:themeColor="text1"/>
          <w:sz w:val="24"/>
          <w:szCs w:val="24"/>
          <w:lang w:val="ru-RU"/>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206.34 (срок исполнения по контракту на приобретение материальных запасов январь 2025 г. и расчеты по ГСМ производятся по факту, ежемесячно).</w:t>
      </w:r>
    </w:p>
    <w:p w14:paraId="5A253F2C">
      <w:pPr>
        <w:pStyle w:val="15"/>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highlight w:val="yellow"/>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просроченной дебиторской задолженности отсутствуют.</w:t>
      </w:r>
    </w:p>
    <w:p w14:paraId="0B7316D5">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Кредиторская задолженность по выплатам на 01.01.2025 г. (сч.</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302.00, 208.00, 304.02, 0.304.03) составила 62065,10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и соответствуют данным стр.410 Баланса (ф.0503130):</w:t>
      </w:r>
    </w:p>
    <w:p w14:paraId="2431B384">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- 30773,55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по сч.</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302.21 (услуги связи);</w:t>
      </w:r>
    </w:p>
    <w:p w14:paraId="3D735179">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- 26050,00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по сч.</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302.23 (предоставление коммунальных услуг);</w:t>
      </w:r>
    </w:p>
    <w:p w14:paraId="73E5050D">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- 5241,55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по сч.</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302.26 (прочие работы и услуги).</w:t>
      </w:r>
    </w:p>
    <w:p w14:paraId="5F3F7E24">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Доходы будущих периодов сч.</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401.40.0 - 1717324,55 руб</w:t>
      </w:r>
      <w:r>
        <w:rPr>
          <w:rFonts w:hint="default" w:ascii="Times New Roman" w:hAnsi="Times New Roman" w:cs="Times New Roman"/>
          <w:color w:val="000000" w:themeColor="text1"/>
          <w:sz w:val="24"/>
          <w:szCs w:val="24"/>
          <w:lang w:val="ru-RU"/>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и соответствуют данным стр.510 Баланса (ф.0503130).</w:t>
      </w:r>
    </w:p>
    <w:p w14:paraId="2D95EA58">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Резерв предстоящих расходов сч.1.401.60 - 3395552,00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и соответствуют данным стр.520 Баланса (ф.0503130).</w:t>
      </w:r>
    </w:p>
    <w:p w14:paraId="48390BE9">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Кредиторская задолженность по доходам на 01.01.2025 г. отсутствует.</w:t>
      </w:r>
    </w:p>
    <w:p w14:paraId="3A7EA87C">
      <w:pPr>
        <w:autoSpaceDE w:val="0"/>
        <w:autoSpaceDN w:val="0"/>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просроченной кредиторской задолженности отсутствуют.</w:t>
      </w:r>
    </w:p>
    <w:p w14:paraId="63F4FD7C">
      <w:pPr>
        <w:autoSpaceDE w:val="0"/>
        <w:autoSpaceDN w:val="0"/>
        <w:adjustRightInd w:val="0"/>
        <w:spacing w:after="0" w:line="240" w:lineRule="auto"/>
        <w:ind w:firstLine="567"/>
        <w:jc w:val="both"/>
        <w:rPr>
          <w:rFonts w:ascii="Times New Roman" w:hAnsi="Times New Roman" w:cs="Times New Roman"/>
          <w:color w:val="000000" w:themeColor="text1"/>
          <w:sz w:val="12"/>
          <w:szCs w:val="12"/>
          <w14:textFill>
            <w14:solidFill>
              <w14:schemeClr w14:val="tx1"/>
            </w14:solidFill>
          </w14:textFill>
        </w:rPr>
      </w:pPr>
    </w:p>
    <w:p w14:paraId="65ECC78D">
      <w:pPr>
        <w:autoSpaceDE w:val="0"/>
        <w:autoSpaceDN w:val="0"/>
        <w:adjustRightInd w:val="0"/>
        <w:spacing w:after="120" w:afterLines="5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Сведения о финансовых вложениях получателя бюджетных средств, администратора источников финансирования дефицита бюджета (ф.0503171) - в</w:t>
      </w:r>
      <w:r>
        <w:rPr>
          <w:rFonts w:ascii="Times New Roman" w:hAnsi="Times New Roman" w:cs="Times New Roman"/>
          <w:color w:val="000000" w:themeColor="text1"/>
          <w:sz w:val="24"/>
          <w:szCs w:val="24"/>
          <w14:textFill>
            <w14:solidFill>
              <w14:schemeClr w14:val="tx1"/>
            </w14:solidFill>
          </w14:textFill>
        </w:rPr>
        <w:t xml:space="preserve"> соответствии с п.168 Инструкции №191н содержит обобщенные за 2024 год данные о финансовых вложениях в финансовые активы субъекта бюджетной отчетности – 13259643,79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(участие в государственных (муниципальных) учреждениях (код 06). Показатели гр.2 сопоставимы с данными главной книги по сч.</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204.33 «Участие в государственных (муниципальных) учреждениях».</w:t>
      </w:r>
    </w:p>
    <w:p w14:paraId="5F3ABCFE">
      <w:pPr>
        <w:spacing w:after="0" w:line="240" w:lineRule="auto"/>
        <w:ind w:firstLine="53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w:t>
      </w:r>
      <w:r>
        <w:rPr>
          <w:rFonts w:ascii="Times New Roman" w:hAnsi="Times New Roman" w:cs="Times New Roman"/>
          <w:color w:val="000000" w:themeColor="text1"/>
          <w:sz w:val="24"/>
          <w:szCs w:val="24"/>
          <w14:textFill>
            <w14:solidFill>
              <w14:schemeClr w14:val="tx1"/>
            </w14:solidFill>
          </w14:textFill>
        </w:rPr>
        <w:t>соответствии с п.170 Инструкции №191н</w:t>
      </w:r>
      <w:r>
        <w:rPr>
          <w:rFonts w:ascii="Times New Roman" w:hAnsi="Times New Roman"/>
          <w:color w:val="000000" w:themeColor="text1"/>
          <w:sz w:val="24"/>
          <w:szCs w:val="24"/>
          <w14:textFill>
            <w14:solidFill>
              <w14:schemeClr w14:val="tx1"/>
            </w14:solidFill>
          </w14:textFill>
        </w:rPr>
        <w:t xml:space="preserve"> Сведения об изменении остатков валюты баланса (ф.0503173) содержат обобщенные за 2024 год данные об изменении показателей на начало отчетного периода вступительного баланса ГРБС и баланса исполнения бюджета. Внесены изменения:</w:t>
      </w:r>
    </w:p>
    <w:p w14:paraId="0025CD5D">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непроизводственн</w:t>
      </w:r>
      <w:r>
        <w:rPr>
          <w:rFonts w:ascii="Times New Roman" w:hAnsi="Times New Roman"/>
          <w:color w:val="000000" w:themeColor="text1"/>
          <w:sz w:val="24"/>
          <w:szCs w:val="24"/>
          <w:lang w:val="ru-RU"/>
          <w14:textFill>
            <w14:solidFill>
              <w14:schemeClr w14:val="tx1"/>
            </w14:solidFill>
          </w14:textFill>
        </w:rPr>
        <w:t>ые</w:t>
      </w:r>
      <w:r>
        <w:rPr>
          <w:rFonts w:ascii="Times New Roman" w:hAnsi="Times New Roman"/>
          <w:color w:val="000000" w:themeColor="text1"/>
          <w:sz w:val="24"/>
          <w:szCs w:val="24"/>
          <w14:textFill>
            <w14:solidFill>
              <w14:schemeClr w14:val="tx1"/>
            </w14:solidFill>
          </w14:textFill>
        </w:rPr>
        <w:t xml:space="preserve"> актив</w:t>
      </w:r>
      <w:r>
        <w:rPr>
          <w:rFonts w:ascii="Times New Roman" w:hAnsi="Times New Roman"/>
          <w:color w:val="000000" w:themeColor="text1"/>
          <w:sz w:val="24"/>
          <w:szCs w:val="24"/>
          <w:lang w:val="ru-RU"/>
          <w14:textFill>
            <w14:solidFill>
              <w14:schemeClr w14:val="tx1"/>
            </w14:solidFill>
          </w14:textFill>
        </w:rPr>
        <w:t>ы</w:t>
      </w:r>
      <w:r>
        <w:rPr>
          <w:rFonts w:ascii="Times New Roman" w:hAnsi="Times New Roman"/>
          <w:color w:val="000000" w:themeColor="text1"/>
          <w:sz w:val="24"/>
          <w:szCs w:val="24"/>
          <w14:textFill>
            <w14:solidFill>
              <w14:schemeClr w14:val="tx1"/>
            </w14:solidFill>
          </w14:textFill>
        </w:rPr>
        <w:t xml:space="preserve"> стр.070 (- 498584,36 </w:t>
      </w:r>
      <w:r>
        <w:rPr>
          <w:rFonts w:ascii="Times New Roman" w:hAnsi="Times New Roman"/>
          <w:color w:val="000000" w:themeColor="text1"/>
          <w:sz w:val="24"/>
          <w:szCs w:val="24"/>
          <w:lang w:val="ru-RU"/>
          <w14:textFill>
            <w14:solidFill>
              <w14:schemeClr w14:val="tx1"/>
            </w14:solidFill>
          </w14:textFill>
        </w:rPr>
        <w:t>руб.</w:t>
      </w:r>
      <w:r>
        <w:rPr>
          <w:rFonts w:ascii="Times New Roman" w:hAnsi="Times New Roman"/>
          <w:color w:val="000000" w:themeColor="text1"/>
          <w:sz w:val="24"/>
          <w:szCs w:val="24"/>
          <w14:textFill>
            <w14:solidFill>
              <w14:schemeClr w14:val="tx1"/>
            </w14:solidFill>
          </w14:textFill>
        </w:rPr>
        <w:t>);</w:t>
      </w:r>
    </w:p>
    <w:p w14:paraId="063FA614">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материальные запасы стр. 080 (-65053,00 </w:t>
      </w:r>
      <w:r>
        <w:rPr>
          <w:rFonts w:ascii="Times New Roman" w:hAnsi="Times New Roman"/>
          <w:color w:val="000000" w:themeColor="text1"/>
          <w:sz w:val="24"/>
          <w:szCs w:val="24"/>
          <w:lang w:val="ru-RU"/>
          <w14:textFill>
            <w14:solidFill>
              <w14:schemeClr w14:val="tx1"/>
            </w14:solidFill>
          </w14:textFill>
        </w:rPr>
        <w:t>руб.</w:t>
      </w:r>
      <w:r>
        <w:rPr>
          <w:rFonts w:ascii="Times New Roman" w:hAnsi="Times New Roman"/>
          <w:color w:val="000000" w:themeColor="text1"/>
          <w:sz w:val="24"/>
          <w:szCs w:val="24"/>
          <w14:textFill>
            <w14:solidFill>
              <w14:schemeClr w14:val="tx1"/>
            </w14:solidFill>
          </w14:textFill>
        </w:rPr>
        <w:t>);</w:t>
      </w:r>
    </w:p>
    <w:p w14:paraId="1E4DDC1E">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итого подразделу </w:t>
      </w:r>
      <w:r>
        <w:rPr>
          <w:rFonts w:ascii="Times New Roman" w:hAnsi="Times New Roman"/>
          <w:color w:val="000000" w:themeColor="text1"/>
          <w:sz w:val="24"/>
          <w:szCs w:val="24"/>
          <w:lang w:val="en-US"/>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t xml:space="preserve"> (-563637,36 </w:t>
      </w:r>
      <w:r>
        <w:rPr>
          <w:rFonts w:ascii="Times New Roman" w:hAnsi="Times New Roman"/>
          <w:color w:val="000000" w:themeColor="text1"/>
          <w:sz w:val="24"/>
          <w:szCs w:val="24"/>
          <w:lang w:val="ru-RU"/>
          <w14:textFill>
            <w14:solidFill>
              <w14:schemeClr w14:val="tx1"/>
            </w14:solidFill>
          </w14:textFill>
        </w:rPr>
        <w:t>руб.</w:t>
      </w:r>
      <w:r>
        <w:rPr>
          <w:rFonts w:ascii="Times New Roman" w:hAnsi="Times New Roman"/>
          <w:color w:val="000000" w:themeColor="text1"/>
          <w:sz w:val="24"/>
          <w:szCs w:val="24"/>
          <w14:textFill>
            <w14:solidFill>
              <w14:schemeClr w14:val="tx1"/>
            </w14:solidFill>
          </w14:textFill>
        </w:rPr>
        <w:t>);</w:t>
      </w:r>
    </w:p>
    <w:p w14:paraId="09978DB8">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Баланс стр.350 и 700 (-563637,36 </w:t>
      </w:r>
      <w:r>
        <w:rPr>
          <w:rFonts w:ascii="Times New Roman" w:hAnsi="Times New Roman"/>
          <w:color w:val="000000" w:themeColor="text1"/>
          <w:sz w:val="24"/>
          <w:szCs w:val="24"/>
          <w:lang w:val="ru-RU"/>
          <w14:textFill>
            <w14:solidFill>
              <w14:schemeClr w14:val="tx1"/>
            </w14:solidFill>
          </w14:textFill>
        </w:rPr>
        <w:t>руб.</w:t>
      </w:r>
      <w:r>
        <w:rPr>
          <w:rFonts w:ascii="Times New Roman" w:hAnsi="Times New Roman"/>
          <w:color w:val="000000" w:themeColor="text1"/>
          <w:sz w:val="24"/>
          <w:szCs w:val="24"/>
          <w14:textFill>
            <w14:solidFill>
              <w14:schemeClr w14:val="tx1"/>
            </w14:solidFill>
          </w14:textFill>
        </w:rPr>
        <w:t>);</w:t>
      </w:r>
    </w:p>
    <w:p w14:paraId="5FE73A5C">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Финансовый результат стр.560 (-563637,36 </w:t>
      </w:r>
      <w:r>
        <w:rPr>
          <w:rFonts w:ascii="Times New Roman" w:hAnsi="Times New Roman"/>
          <w:color w:val="000000" w:themeColor="text1"/>
          <w:sz w:val="24"/>
          <w:szCs w:val="24"/>
          <w:lang w:val="ru-RU"/>
          <w14:textFill>
            <w14:solidFill>
              <w14:schemeClr w14:val="tx1"/>
            </w14:solidFill>
          </w14:textFill>
        </w:rPr>
        <w:t>руб.</w:t>
      </w:r>
      <w:r>
        <w:rPr>
          <w:rFonts w:ascii="Times New Roman" w:hAnsi="Times New Roman"/>
          <w:color w:val="000000" w:themeColor="text1"/>
          <w:sz w:val="24"/>
          <w:szCs w:val="24"/>
          <w14:textFill>
            <w14:solidFill>
              <w14:schemeClr w14:val="tx1"/>
            </w14:solidFill>
          </w14:textFill>
        </w:rPr>
        <w:t>);</w:t>
      </w:r>
    </w:p>
    <w:p w14:paraId="547E9B79">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Финансовый результат экономического субъекта стр.570 (-563637,36 </w:t>
      </w:r>
      <w:r>
        <w:rPr>
          <w:rFonts w:ascii="Times New Roman" w:hAnsi="Times New Roman"/>
          <w:color w:val="000000" w:themeColor="text1"/>
          <w:sz w:val="24"/>
          <w:szCs w:val="24"/>
          <w:lang w:val="ru-RU"/>
          <w14:textFill>
            <w14:solidFill>
              <w14:schemeClr w14:val="tx1"/>
            </w14:solidFill>
          </w14:textFill>
        </w:rPr>
        <w:t>руб.</w:t>
      </w:r>
      <w:r>
        <w:rPr>
          <w:rFonts w:ascii="Times New Roman" w:hAnsi="Times New Roman"/>
          <w:color w:val="000000" w:themeColor="text1"/>
          <w:sz w:val="24"/>
          <w:szCs w:val="24"/>
          <w14:textFill>
            <w14:solidFill>
              <w14:schemeClr w14:val="tx1"/>
            </w14:solidFill>
          </w14:textFill>
        </w:rPr>
        <w:t>).</w:t>
      </w:r>
    </w:p>
    <w:p w14:paraId="3AF7B4D8">
      <w:pPr>
        <w:spacing w:after="72" w:afterLines="30" w:line="240" w:lineRule="auto"/>
        <w:ind w:firstLine="53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 ф.0503173 содержатся сведения об изменениях на забалансовых счетах: запасные части к транспортным средствам, выданные взамен изношенных стр.090 (52898,00 </w:t>
      </w:r>
      <w:r>
        <w:rPr>
          <w:rFonts w:ascii="Times New Roman" w:hAnsi="Times New Roman"/>
          <w:color w:val="000000" w:themeColor="text1"/>
          <w:sz w:val="24"/>
          <w:szCs w:val="24"/>
          <w:lang w:val="ru-RU"/>
          <w14:textFill>
            <w14:solidFill>
              <w14:schemeClr w14:val="tx1"/>
            </w14:solidFill>
          </w14:textFill>
        </w:rPr>
        <w:t>руб.</w:t>
      </w:r>
      <w:r>
        <w:rPr>
          <w:rFonts w:ascii="Times New Roman" w:hAnsi="Times New Roman"/>
          <w:color w:val="000000" w:themeColor="text1"/>
          <w:sz w:val="24"/>
          <w:szCs w:val="24"/>
          <w14:textFill>
            <w14:solidFill>
              <w14:schemeClr w14:val="tx1"/>
            </w14:solidFill>
          </w14:textFill>
        </w:rPr>
        <w:t>).</w:t>
      </w:r>
    </w:p>
    <w:p w14:paraId="3A1A7AF7">
      <w:pPr>
        <w:autoSpaceDE w:val="0"/>
        <w:autoSpaceDN w:val="0"/>
        <w:adjustRightInd w:val="0"/>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п.170.2 Инструкции №191н</w:t>
      </w:r>
      <w:r>
        <w:rPr>
          <w:rFonts w:ascii="Times New Roman" w:hAnsi="Times New Roman"/>
          <w:color w:val="000000" w:themeColor="text1"/>
          <w:sz w:val="24"/>
          <w:szCs w:val="24"/>
          <w14:textFill>
            <w14:solidFill>
              <w14:schemeClr w14:val="tx1"/>
            </w14:solidFill>
          </w14:textFill>
        </w:rPr>
        <w:t xml:space="preserve"> Сведения о принятых и неисполненных обязательствах получателя бюджетных средств (ф.0503175) </w:t>
      </w:r>
      <w:r>
        <w:rPr>
          <w:rFonts w:ascii="Times New Roman" w:hAnsi="Times New Roman" w:cs="Times New Roman"/>
          <w:color w:val="000000" w:themeColor="text1"/>
          <w:sz w:val="24"/>
          <w:szCs w:val="24"/>
          <w14:textFill>
            <w14:solidFill>
              <w14:schemeClr w14:val="tx1"/>
            </w14:solidFill>
          </w14:textFill>
        </w:rPr>
        <w:t xml:space="preserve">содержат аналитические данные о неисполненных бюджетных обязательствах (483861,87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xml:space="preserve">), неисполненных денежных обязательствах (62065,10 </w:t>
      </w:r>
      <w:r>
        <w:rPr>
          <w:rFonts w:ascii="Times New Roman" w:hAnsi="Times New Roman" w:cs="Times New Roman"/>
          <w:color w:val="000000" w:themeColor="text1"/>
          <w:sz w:val="24"/>
          <w:szCs w:val="24"/>
          <w:lang w:val="ru-RU"/>
          <w14:textFill>
            <w14:solidFill>
              <w14:schemeClr w14:val="tx1"/>
            </w14:solidFill>
          </w14:textFill>
        </w:rPr>
        <w:t>руб.</w:t>
      </w:r>
      <w:r>
        <w:rPr>
          <w:rFonts w:ascii="Times New Roman" w:hAnsi="Times New Roman" w:cs="Times New Roman"/>
          <w:color w:val="000000" w:themeColor="text1"/>
          <w:sz w:val="24"/>
          <w:szCs w:val="24"/>
          <w14:textFill>
            <w14:solidFill>
              <w14:schemeClr w14:val="tx1"/>
            </w14:solidFill>
          </w14:textFill>
        </w:rPr>
        <w:t>). Показатели, отраженные в ф.0503175, соответствуют данным Отчета (ф.0503128).</w:t>
      </w:r>
    </w:p>
    <w:p w14:paraId="49F744F6">
      <w:pPr>
        <w:autoSpaceDE w:val="0"/>
        <w:autoSpaceDN w:val="0"/>
        <w:adjustRightInd w:val="0"/>
        <w:spacing w:after="72" w:afterLines="3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п.173 Инструкции №191н</w:t>
      </w:r>
      <w:r>
        <w:rPr>
          <w:rFonts w:ascii="Times New Roman" w:hAnsi="Times New Roman"/>
          <w:color w:val="000000" w:themeColor="text1"/>
          <w:sz w:val="24"/>
          <w:szCs w:val="24"/>
          <w14:textFill>
            <w14:solidFill>
              <w14:schemeClr w14:val="tx1"/>
            </w14:solidFill>
          </w14:textFill>
        </w:rPr>
        <w:t xml:space="preserve"> Сведения об остатках денежных средств на счетах получателя бюджетных средств (ф.0503178) </w:t>
      </w:r>
      <w:r>
        <w:rPr>
          <w:rFonts w:ascii="Times New Roman" w:hAnsi="Times New Roman" w:cs="Times New Roman"/>
          <w:color w:val="000000" w:themeColor="text1"/>
          <w:sz w:val="24"/>
          <w:szCs w:val="24"/>
          <w14:textFill>
            <w14:solidFill>
              <w14:schemeClr w14:val="tx1"/>
            </w14:solidFill>
          </w14:textFill>
        </w:rPr>
        <w:t xml:space="preserve">содержат сведения </w:t>
      </w:r>
      <w:r>
        <w:rPr>
          <w:rFonts w:ascii="Times New Roman" w:hAnsi="Times New Roman"/>
          <w:color w:val="000000" w:themeColor="text1"/>
          <w:sz w:val="24"/>
          <w:szCs w:val="24"/>
          <w14:textFill>
            <w14:solidFill>
              <w14:schemeClr w14:val="tx1"/>
            </w14:solidFill>
          </w14:textFill>
        </w:rPr>
        <w:t xml:space="preserve">об остатках денежных средств на счетах получателя бюджетных средств (0,00 </w:t>
      </w:r>
      <w:r>
        <w:rPr>
          <w:rFonts w:ascii="Times New Roman" w:hAnsi="Times New Roman"/>
          <w:color w:val="000000" w:themeColor="text1"/>
          <w:sz w:val="24"/>
          <w:szCs w:val="24"/>
          <w:lang w:val="ru-RU"/>
          <w14:textFill>
            <w14:solidFill>
              <w14:schemeClr w14:val="tx1"/>
            </w14:solidFill>
          </w14:textFill>
        </w:rPr>
        <w:t>руб.</w:t>
      </w:r>
      <w:r>
        <w:rPr>
          <w:rFonts w:ascii="Times New Roman" w:hAnsi="Times New Roman"/>
          <w:color w:val="000000" w:themeColor="text1"/>
          <w:sz w:val="24"/>
          <w:szCs w:val="24"/>
          <w14:textFill>
            <w14:solidFill>
              <w14:schemeClr w14:val="tx1"/>
            </w14:solidFill>
          </w14:textFill>
        </w:rPr>
        <w:t>).</w:t>
      </w:r>
    </w:p>
    <w:p w14:paraId="0D5E9462">
      <w:pPr>
        <w:autoSpaceDE w:val="0"/>
        <w:autoSpaceDN w:val="0"/>
        <w:adjustRightInd w:val="0"/>
        <w:spacing w:after="72" w:afterLines="3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Анализ показателей отчетности субъекта бюджетной отчетности (Таблица №14) </w:t>
      </w:r>
      <w:r>
        <w:rPr>
          <w:rFonts w:ascii="Times New Roman" w:hAnsi="Times New Roman" w:eastAsia="Times New Roman"/>
          <w:color w:val="000000" w:themeColor="text1"/>
          <w:sz w:val="24"/>
          <w:szCs w:val="24"/>
          <w14:textFill>
            <w14:solidFill>
              <w14:schemeClr w14:val="tx1"/>
            </w14:solidFill>
          </w14:textFill>
        </w:rPr>
        <w:t xml:space="preserve">представлен ГРБС согласно п.159.7 Инструкции №191н. Содержит аналитическую информацию, характеризующую показатели бюджетной отчетности субъекта бюджетной отчетности, в том числе информацию о некассовых операциях, отраженных в Отчете (ф.0503127). </w:t>
      </w:r>
      <w:r>
        <w:rPr>
          <w:rFonts w:ascii="Times New Roman" w:hAnsi="Times New Roman" w:cs="Times New Roman"/>
          <w:color w:val="000000" w:themeColor="text1"/>
          <w:sz w:val="24"/>
          <w:szCs w:val="24"/>
          <w14:textFill>
            <w14:solidFill>
              <w14:schemeClr w14:val="tx1"/>
            </w14:solidFill>
          </w14:textFill>
        </w:rPr>
        <w:t>Нарушения при заполнении таблицы не выявлены.</w:t>
      </w:r>
    </w:p>
    <w:p w14:paraId="7B47F868">
      <w:pPr>
        <w:autoSpaceDE w:val="0"/>
        <w:autoSpaceDN w:val="0"/>
        <w:adjustRightInd w:val="0"/>
        <w:spacing w:after="0" w:line="240" w:lineRule="auto"/>
        <w:ind w:firstLine="56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Раздел 5 «Прочие вопросы деятельности субъекта бюджетной отчетности» содержит:</w:t>
      </w:r>
    </w:p>
    <w:p w14:paraId="43B45359">
      <w:pPr>
        <w:spacing w:after="0" w:line="240" w:lineRule="auto"/>
        <w:ind w:firstLine="53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Сведения об основных положениях учетной политики (Таблица №4) в соответствии с п. 156 Инструкции №191н характеризу</w:t>
      </w:r>
      <w:r>
        <w:rPr>
          <w:rFonts w:ascii="Times New Roman" w:hAnsi="Times New Roman"/>
          <w:color w:val="000000" w:themeColor="text1"/>
          <w:sz w:val="24"/>
          <w:szCs w:val="24"/>
          <w:lang w:val="ru-RU"/>
          <w14:textFill>
            <w14:solidFill>
              <w14:schemeClr w14:val="tx1"/>
            </w14:solidFill>
          </w14:textFill>
        </w:rPr>
        <w:t>ю</w:t>
      </w:r>
      <w:r>
        <w:rPr>
          <w:rFonts w:ascii="Times New Roman" w:hAnsi="Times New Roman"/>
          <w:color w:val="000000" w:themeColor="text1"/>
          <w:sz w:val="24"/>
          <w:szCs w:val="24"/>
          <w14:textFill>
            <w14:solidFill>
              <w14:schemeClr w14:val="tx1"/>
            </w14:solidFill>
          </w14:textFill>
        </w:rPr>
        <w:t>т основные положения учетной политики субъекта бюджетной отчетности,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 регулирующими ведение бюджетного учета, права самостоятельного определения таких особенностей. Нарушения при заполнении таблицы не выявл</w:t>
      </w:r>
      <w:bookmarkStart w:id="0" w:name="_GoBack"/>
      <w:bookmarkEnd w:id="0"/>
      <w:r>
        <w:rPr>
          <w:rFonts w:ascii="Times New Roman" w:hAnsi="Times New Roman"/>
          <w:color w:val="000000" w:themeColor="text1"/>
          <w:sz w:val="24"/>
          <w:szCs w:val="24"/>
          <w14:textFill>
            <w14:solidFill>
              <w14:schemeClr w14:val="tx1"/>
            </w14:solidFill>
          </w14:textFill>
        </w:rPr>
        <w:t>ены.</w:t>
      </w:r>
    </w:p>
    <w:p w14:paraId="78F4AC38">
      <w:pPr>
        <w:spacing w:after="0" w:line="240" w:lineRule="auto"/>
        <w:ind w:firstLine="539"/>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Сведения об исполнении судебных решений по денежным обязательствам бюджета (ф.0503296) - в соответствии с п.174 Инструкции №191н по строке 010 Сведений (ф.0503296) отражаются суммы по судебным решениям судов судебной системы Российской Федерации. В течение 2024 года было принято и исполнено по исполнительным документам денежных обязательств на общую сумму 1000,00 </w:t>
      </w:r>
      <w:r>
        <w:rPr>
          <w:rFonts w:ascii="Times New Roman" w:hAnsi="Times New Roman"/>
          <w:color w:val="000000" w:themeColor="text1"/>
          <w:sz w:val="24"/>
          <w:szCs w:val="24"/>
          <w:lang w:val="ru-RU"/>
          <w14:textFill>
            <w14:solidFill>
              <w14:schemeClr w14:val="tx1"/>
            </w14:solidFill>
          </w14:textFill>
        </w:rPr>
        <w:t>руб.</w:t>
      </w:r>
    </w:p>
    <w:p w14:paraId="22F5AA04">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Представлена таблица №16 «Прочие вопросы деятельности субъекта бюджетной отчетности» в соответствии с</w:t>
      </w:r>
      <w:r>
        <w:rPr>
          <w:rFonts w:ascii="Times New Roman" w:hAnsi="Times New Roman" w:eastAsia="Times New Roman"/>
          <w:color w:val="000000" w:themeColor="text1"/>
          <w:sz w:val="24"/>
          <w:szCs w:val="24"/>
          <w14:textFill>
            <w14:solidFill>
              <w14:schemeClr w14:val="tx1"/>
            </w14:solidFill>
          </w14:textFill>
        </w:rPr>
        <w:t xml:space="preserve"> п.159.9 Инструкции №191н,</w:t>
      </w:r>
      <w:r>
        <w:rPr>
          <w:rFonts w:ascii="Times New Roman" w:hAnsi="Times New Roman"/>
          <w:color w:val="000000" w:themeColor="text1"/>
          <w:sz w:val="24"/>
          <w:szCs w:val="24"/>
          <w14:textFill>
            <w14:solidFill>
              <w14:schemeClr w14:val="tx1"/>
            </w14:solidFill>
          </w14:textFill>
        </w:rPr>
        <w:t xml:space="preserve"> отражающая перечень форм отчетности, не включенных в состав бюджетной отчетности за отчетный период ввиду отсутствия числовых значений показателей: ф.0603166, ф.0503167, ф.0503172, ф.0503174, ф.0503295, ф.0503193, ф.0503190, 0503184, таблица №1, №3, №6, №15.</w:t>
      </w:r>
    </w:p>
    <w:p w14:paraId="24819BD0">
      <w:pPr>
        <w:autoSpaceDE w:val="0"/>
        <w:autoSpaceDN w:val="0"/>
        <w:adjustRightInd w:val="0"/>
        <w:spacing w:after="0" w:line="240" w:lineRule="auto"/>
        <w:ind w:firstLine="567"/>
        <w:jc w:val="both"/>
        <w:rPr>
          <w:rFonts w:ascii="Times New Roman" w:hAnsi="Times New Roman"/>
          <w:color w:val="000000" w:themeColor="text1"/>
          <w:sz w:val="24"/>
          <w:szCs w:val="24"/>
          <w14:textFill>
            <w14:solidFill>
              <w14:schemeClr w14:val="tx1"/>
            </w14:solidFill>
          </w14:textFill>
        </w:rPr>
      </w:pPr>
    </w:p>
    <w:p w14:paraId="4D7DD5B2">
      <w:pPr>
        <w:spacing w:after="0" w:line="240" w:lineRule="auto"/>
        <w:ind w:firstLine="567"/>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Вывод</w:t>
      </w:r>
    </w:p>
    <w:p w14:paraId="5F06D29E">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Оценка полноты и достоверности бюджетной отчетности во всех существенных отношениях проводилась на выборочной основе. Бюджетная отчетность за 2024 год представлена в срок, достоверна, соответствует структуре и бюджетной классификации. </w:t>
      </w:r>
    </w:p>
    <w:p w14:paraId="2AF8B7F6">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Нарушений и недостатков, существенно оказавших влияние на полноту отражения показателей отчетности и на достоверность показателей представленной отчетности за 2024 год, не выявлено.</w:t>
      </w:r>
    </w:p>
    <w:p w14:paraId="75AD0504">
      <w:pPr>
        <w:pStyle w:val="15"/>
        <w:tabs>
          <w:tab w:val="center" w:pos="0"/>
          <w:tab w:val="left" w:pos="284"/>
        </w:tabs>
        <w:autoSpaceDE w:val="0"/>
        <w:autoSpaceDN w:val="0"/>
        <w:adjustRightInd w:val="0"/>
        <w:spacing w:after="0" w:line="240" w:lineRule="auto"/>
        <w:ind w:left="0"/>
        <w:jc w:val="both"/>
        <w:outlineLvl w:val="0"/>
        <w:rPr>
          <w:rFonts w:ascii="Times New Roman" w:hAnsi="Times New Roman" w:cs="Times New Roman"/>
          <w:b/>
          <w:bCs/>
          <w:i/>
          <w:iCs/>
          <w:color w:val="000000" w:themeColor="text1"/>
          <w:sz w:val="24"/>
          <w:szCs w:val="24"/>
          <w14:textFill>
            <w14:solidFill>
              <w14:schemeClr w14:val="tx1"/>
            </w14:solidFill>
          </w14:textFill>
        </w:rPr>
      </w:pPr>
    </w:p>
    <w:p w14:paraId="1A4D0B5B">
      <w:pPr>
        <w:spacing w:after="0" w:line="240" w:lineRule="auto"/>
        <w:ind w:left="880" w:leftChars="4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Председатель КСП МО «Ахтубинский район»  </w:t>
      </w:r>
      <w:r>
        <w:rPr>
          <w:rFonts w:ascii="Times New Roman" w:hAnsi="Times New Roman" w:cs="Times New Roman"/>
          <w:color w:val="376092" w:themeColor="accent1" w:themeShade="BF"/>
          <w:sz w:val="24"/>
          <w:szCs w:val="24"/>
        </w:rPr>
        <w:t xml:space="preserve">       </w:t>
      </w:r>
      <w:r>
        <w:rPr>
          <w:rFonts w:ascii="Times New Roman" w:hAnsi="Times New Roman" w:cs="Times New Roman"/>
          <w:color w:val="000000" w:themeColor="text1"/>
          <w:sz w:val="24"/>
          <w:szCs w:val="24"/>
          <w14:textFill>
            <w14:solidFill>
              <w14:schemeClr w14:val="tx1"/>
            </w14:solidFill>
          </w14:textFill>
        </w:rPr>
        <w:t xml:space="preserve">                            Ю.Ю. Журавлева</w:t>
      </w:r>
    </w:p>
    <w:sectPr>
      <w:footerReference r:id="rId6" w:type="default"/>
      <w:headerReference r:id="rId5" w:type="even"/>
      <w:footerReference r:id="rId7" w:type="even"/>
      <w:pgSz w:w="11906" w:h="16838"/>
      <w:pgMar w:top="720" w:right="720" w:bottom="720"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EF83">
    <w:pPr>
      <w:pStyle w:val="9"/>
      <w:pBdr>
        <w:top w:val="thinThickSmallGap" w:color="622423" w:themeColor="accent2" w:themeShade="7F" w:sz="24" w:space="1"/>
      </w:pBdr>
      <w:rPr>
        <w:rFonts w:asciiTheme="majorHAnsi" w:hAnsiTheme="majorHAnsi" w:eastAsiaTheme="majorEastAsia" w:cstheme="majorBidi"/>
      </w:rPr>
    </w:pPr>
    <w:r>
      <w:rPr>
        <w:rFonts w:asciiTheme="majorHAnsi" w:hAnsiTheme="majorHAnsi" w:eastAsiaTheme="majorEastAsia" w:cstheme="majorBidi"/>
      </w:rPr>
      <w:t>Заключение КСП МО «Ахтубинский район»</w:t>
    </w: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Страница </w:t>
    </w:r>
    <w:r>
      <w:rPr>
        <w:rFonts w:eastAsiaTheme="minorEastAsia"/>
      </w:rPr>
      <w:fldChar w:fldCharType="begin"/>
    </w:r>
    <w:r>
      <w:instrText xml:space="preserve">PAGE   \* MERGEFORMAT</w:instrText>
    </w:r>
    <w:r>
      <w:rPr>
        <w:rFonts w:eastAsiaTheme="minorEastAsia"/>
      </w:rPr>
      <w:fldChar w:fldCharType="separate"/>
    </w:r>
    <w:r>
      <w:rPr>
        <w:rFonts w:asciiTheme="majorHAnsi" w:hAnsiTheme="majorHAnsi" w:eastAsiaTheme="majorEastAsia" w:cstheme="majorBidi"/>
      </w:rPr>
      <w:t>10</w:t>
    </w:r>
    <w:r>
      <w:rPr>
        <w:rFonts w:asciiTheme="majorHAnsi" w:hAnsiTheme="majorHAnsi" w:eastAsiaTheme="majorEastAsia" w:cstheme="majorBidi"/>
      </w:rPr>
      <w:fldChar w:fldCharType="end"/>
    </w:r>
  </w:p>
  <w:p w14:paraId="069514E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794A">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0C49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2FFFB"/>
    <w:multiLevelType w:val="singleLevel"/>
    <w:tmpl w:val="3332FFFB"/>
    <w:lvl w:ilvl="0" w:tentative="0">
      <w:start w:val="2"/>
      <w:numFmt w:val="decimal"/>
      <w:suff w:val="space"/>
      <w:lvlText w:val="%1."/>
      <w:lvlJc w:val="left"/>
      <w:rPr>
        <w:rFonts w:hint="default"/>
        <w:b/>
        <w:bCs/>
      </w:rPr>
    </w:lvl>
  </w:abstractNum>
  <w:abstractNum w:abstractNumId="1">
    <w:nsid w:val="46BF50F5"/>
    <w:multiLevelType w:val="multilevel"/>
    <w:tmpl w:val="46BF50F5"/>
    <w:lvl w:ilvl="0" w:tentative="0">
      <w:start w:val="1"/>
      <w:numFmt w:val="decimal"/>
      <w:lvlText w:val="%1."/>
      <w:lvlJc w:val="left"/>
      <w:pPr>
        <w:ind w:left="720" w:hanging="360"/>
      </w:pPr>
      <w:rPr>
        <w:rFonts w:hint="default"/>
        <w:b/>
        <w:bCs/>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D5C1717"/>
    <w:multiLevelType w:val="multilevel"/>
    <w:tmpl w:val="4D5C1717"/>
    <w:lvl w:ilvl="0" w:tentative="0">
      <w:start w:val="1"/>
      <w:numFmt w:val="bullet"/>
      <w:lvlText w:val=""/>
      <w:lvlJc w:val="left"/>
      <w:pPr>
        <w:ind w:left="1095" w:hanging="360"/>
      </w:pPr>
      <w:rPr>
        <w:rFonts w:hint="default" w:ascii="Symbol" w:hAnsi="Symbol"/>
      </w:rPr>
    </w:lvl>
    <w:lvl w:ilvl="1" w:tentative="0">
      <w:start w:val="1"/>
      <w:numFmt w:val="bullet"/>
      <w:lvlText w:val="o"/>
      <w:lvlJc w:val="left"/>
      <w:pPr>
        <w:ind w:left="1815" w:hanging="360"/>
      </w:pPr>
      <w:rPr>
        <w:rFonts w:hint="default" w:ascii="Courier New" w:hAnsi="Courier New" w:cs="Courier New"/>
      </w:rPr>
    </w:lvl>
    <w:lvl w:ilvl="2" w:tentative="0">
      <w:start w:val="1"/>
      <w:numFmt w:val="bullet"/>
      <w:lvlText w:val=""/>
      <w:lvlJc w:val="left"/>
      <w:pPr>
        <w:ind w:left="2535" w:hanging="360"/>
      </w:pPr>
      <w:rPr>
        <w:rFonts w:hint="default" w:ascii="Wingdings" w:hAnsi="Wingdings"/>
      </w:rPr>
    </w:lvl>
    <w:lvl w:ilvl="3" w:tentative="0">
      <w:start w:val="1"/>
      <w:numFmt w:val="bullet"/>
      <w:lvlText w:val=""/>
      <w:lvlJc w:val="left"/>
      <w:pPr>
        <w:ind w:left="3255" w:hanging="360"/>
      </w:pPr>
      <w:rPr>
        <w:rFonts w:hint="default" w:ascii="Symbol" w:hAnsi="Symbol"/>
      </w:rPr>
    </w:lvl>
    <w:lvl w:ilvl="4" w:tentative="0">
      <w:start w:val="1"/>
      <w:numFmt w:val="bullet"/>
      <w:lvlText w:val="o"/>
      <w:lvlJc w:val="left"/>
      <w:pPr>
        <w:ind w:left="3975" w:hanging="360"/>
      </w:pPr>
      <w:rPr>
        <w:rFonts w:hint="default" w:ascii="Courier New" w:hAnsi="Courier New" w:cs="Courier New"/>
      </w:rPr>
    </w:lvl>
    <w:lvl w:ilvl="5" w:tentative="0">
      <w:start w:val="1"/>
      <w:numFmt w:val="bullet"/>
      <w:lvlText w:val=""/>
      <w:lvlJc w:val="left"/>
      <w:pPr>
        <w:ind w:left="4695" w:hanging="360"/>
      </w:pPr>
      <w:rPr>
        <w:rFonts w:hint="default" w:ascii="Wingdings" w:hAnsi="Wingdings"/>
      </w:rPr>
    </w:lvl>
    <w:lvl w:ilvl="6" w:tentative="0">
      <w:start w:val="1"/>
      <w:numFmt w:val="bullet"/>
      <w:lvlText w:val=""/>
      <w:lvlJc w:val="left"/>
      <w:pPr>
        <w:ind w:left="5415" w:hanging="360"/>
      </w:pPr>
      <w:rPr>
        <w:rFonts w:hint="default" w:ascii="Symbol" w:hAnsi="Symbol"/>
      </w:rPr>
    </w:lvl>
    <w:lvl w:ilvl="7" w:tentative="0">
      <w:start w:val="1"/>
      <w:numFmt w:val="bullet"/>
      <w:lvlText w:val="o"/>
      <w:lvlJc w:val="left"/>
      <w:pPr>
        <w:ind w:left="6135" w:hanging="360"/>
      </w:pPr>
      <w:rPr>
        <w:rFonts w:hint="default" w:ascii="Courier New" w:hAnsi="Courier New" w:cs="Courier New"/>
      </w:rPr>
    </w:lvl>
    <w:lvl w:ilvl="8" w:tentative="0">
      <w:start w:val="1"/>
      <w:numFmt w:val="bullet"/>
      <w:lvlText w:val=""/>
      <w:lvlJc w:val="left"/>
      <w:pPr>
        <w:ind w:left="6855"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08"/>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993"/>
    <w:rsid w:val="0002005C"/>
    <w:rsid w:val="00020CB0"/>
    <w:rsid w:val="00021BFF"/>
    <w:rsid w:val="0002347A"/>
    <w:rsid w:val="0002430A"/>
    <w:rsid w:val="000344B0"/>
    <w:rsid w:val="000415A4"/>
    <w:rsid w:val="00041F3B"/>
    <w:rsid w:val="00047905"/>
    <w:rsid w:val="00047F1F"/>
    <w:rsid w:val="0005072A"/>
    <w:rsid w:val="0005238E"/>
    <w:rsid w:val="0005782E"/>
    <w:rsid w:val="00061C82"/>
    <w:rsid w:val="00062F8D"/>
    <w:rsid w:val="00066609"/>
    <w:rsid w:val="00066658"/>
    <w:rsid w:val="00067C0F"/>
    <w:rsid w:val="00067CB0"/>
    <w:rsid w:val="0007141D"/>
    <w:rsid w:val="00071AB1"/>
    <w:rsid w:val="000728BD"/>
    <w:rsid w:val="00075CC8"/>
    <w:rsid w:val="00075D18"/>
    <w:rsid w:val="000766D2"/>
    <w:rsid w:val="000900F6"/>
    <w:rsid w:val="000906F8"/>
    <w:rsid w:val="00091AD6"/>
    <w:rsid w:val="000934BD"/>
    <w:rsid w:val="000934D1"/>
    <w:rsid w:val="000A2708"/>
    <w:rsid w:val="000A44EE"/>
    <w:rsid w:val="000A4CA4"/>
    <w:rsid w:val="000B4533"/>
    <w:rsid w:val="000B6E4C"/>
    <w:rsid w:val="000C4801"/>
    <w:rsid w:val="000C4D53"/>
    <w:rsid w:val="000C5BDE"/>
    <w:rsid w:val="000C73E5"/>
    <w:rsid w:val="000D1EC7"/>
    <w:rsid w:val="000D69B2"/>
    <w:rsid w:val="000E5F05"/>
    <w:rsid w:val="000E6906"/>
    <w:rsid w:val="000F34DA"/>
    <w:rsid w:val="000F423C"/>
    <w:rsid w:val="000F6B30"/>
    <w:rsid w:val="00101979"/>
    <w:rsid w:val="00101AD0"/>
    <w:rsid w:val="00105E6F"/>
    <w:rsid w:val="00106231"/>
    <w:rsid w:val="001062A9"/>
    <w:rsid w:val="0011015C"/>
    <w:rsid w:val="00112D6E"/>
    <w:rsid w:val="00123823"/>
    <w:rsid w:val="0012564A"/>
    <w:rsid w:val="00136349"/>
    <w:rsid w:val="00141494"/>
    <w:rsid w:val="00146CD7"/>
    <w:rsid w:val="00147A26"/>
    <w:rsid w:val="001566B9"/>
    <w:rsid w:val="001576E0"/>
    <w:rsid w:val="00160877"/>
    <w:rsid w:val="0017067B"/>
    <w:rsid w:val="00172A27"/>
    <w:rsid w:val="00180229"/>
    <w:rsid w:val="00181D6A"/>
    <w:rsid w:val="00185F28"/>
    <w:rsid w:val="001963CD"/>
    <w:rsid w:val="001A3703"/>
    <w:rsid w:val="001A3963"/>
    <w:rsid w:val="001A731D"/>
    <w:rsid w:val="001B0400"/>
    <w:rsid w:val="001B288B"/>
    <w:rsid w:val="001B3612"/>
    <w:rsid w:val="001B6F28"/>
    <w:rsid w:val="001B7C79"/>
    <w:rsid w:val="001C3C1C"/>
    <w:rsid w:val="001C4A95"/>
    <w:rsid w:val="001C587C"/>
    <w:rsid w:val="001D40B5"/>
    <w:rsid w:val="001D4391"/>
    <w:rsid w:val="001D4FB6"/>
    <w:rsid w:val="001D6111"/>
    <w:rsid w:val="001E0A9D"/>
    <w:rsid w:val="001E2566"/>
    <w:rsid w:val="001E5405"/>
    <w:rsid w:val="001F1A1F"/>
    <w:rsid w:val="001F5DFD"/>
    <w:rsid w:val="00201A5F"/>
    <w:rsid w:val="00203002"/>
    <w:rsid w:val="00203AC1"/>
    <w:rsid w:val="002307F6"/>
    <w:rsid w:val="002313D8"/>
    <w:rsid w:val="0023161E"/>
    <w:rsid w:val="002360F1"/>
    <w:rsid w:val="00236C1D"/>
    <w:rsid w:val="0023759D"/>
    <w:rsid w:val="00244995"/>
    <w:rsid w:val="00246A6F"/>
    <w:rsid w:val="00246CCE"/>
    <w:rsid w:val="00247EE1"/>
    <w:rsid w:val="00250ECB"/>
    <w:rsid w:val="0025296E"/>
    <w:rsid w:val="002631A4"/>
    <w:rsid w:val="002636EB"/>
    <w:rsid w:val="002647A8"/>
    <w:rsid w:val="00264B14"/>
    <w:rsid w:val="00271123"/>
    <w:rsid w:val="002761A8"/>
    <w:rsid w:val="00282921"/>
    <w:rsid w:val="00285210"/>
    <w:rsid w:val="00286D69"/>
    <w:rsid w:val="0029324A"/>
    <w:rsid w:val="002932D2"/>
    <w:rsid w:val="00293B9C"/>
    <w:rsid w:val="002A1DB6"/>
    <w:rsid w:val="002B5B18"/>
    <w:rsid w:val="002B602E"/>
    <w:rsid w:val="002C40BD"/>
    <w:rsid w:val="002D130B"/>
    <w:rsid w:val="002D307D"/>
    <w:rsid w:val="002D3F9D"/>
    <w:rsid w:val="002E5C84"/>
    <w:rsid w:val="002E5F24"/>
    <w:rsid w:val="002E76E5"/>
    <w:rsid w:val="002E7C66"/>
    <w:rsid w:val="002F717C"/>
    <w:rsid w:val="0030069F"/>
    <w:rsid w:val="003044BE"/>
    <w:rsid w:val="00304535"/>
    <w:rsid w:val="003058BD"/>
    <w:rsid w:val="00310EAC"/>
    <w:rsid w:val="0032199A"/>
    <w:rsid w:val="00321B2D"/>
    <w:rsid w:val="0032733B"/>
    <w:rsid w:val="003276D4"/>
    <w:rsid w:val="003358A4"/>
    <w:rsid w:val="00336946"/>
    <w:rsid w:val="00346A44"/>
    <w:rsid w:val="00350927"/>
    <w:rsid w:val="00353679"/>
    <w:rsid w:val="003555AE"/>
    <w:rsid w:val="0036097F"/>
    <w:rsid w:val="00361BA1"/>
    <w:rsid w:val="0036369C"/>
    <w:rsid w:val="0037657A"/>
    <w:rsid w:val="0037759E"/>
    <w:rsid w:val="0037789D"/>
    <w:rsid w:val="003836ED"/>
    <w:rsid w:val="00384B96"/>
    <w:rsid w:val="00384EC1"/>
    <w:rsid w:val="00386D2D"/>
    <w:rsid w:val="00390834"/>
    <w:rsid w:val="00392640"/>
    <w:rsid w:val="003A0323"/>
    <w:rsid w:val="003B6982"/>
    <w:rsid w:val="003C230A"/>
    <w:rsid w:val="003C25DD"/>
    <w:rsid w:val="003C2DC1"/>
    <w:rsid w:val="003D1F00"/>
    <w:rsid w:val="003D4E10"/>
    <w:rsid w:val="003E15E1"/>
    <w:rsid w:val="003E4A34"/>
    <w:rsid w:val="003F0125"/>
    <w:rsid w:val="003F0A18"/>
    <w:rsid w:val="003F665B"/>
    <w:rsid w:val="00400199"/>
    <w:rsid w:val="0040759E"/>
    <w:rsid w:val="00423630"/>
    <w:rsid w:val="00424826"/>
    <w:rsid w:val="00424B06"/>
    <w:rsid w:val="00425E03"/>
    <w:rsid w:val="00431141"/>
    <w:rsid w:val="004324DD"/>
    <w:rsid w:val="00436A16"/>
    <w:rsid w:val="004414EE"/>
    <w:rsid w:val="004425FF"/>
    <w:rsid w:val="00444D58"/>
    <w:rsid w:val="0045563D"/>
    <w:rsid w:val="004617CA"/>
    <w:rsid w:val="00462EEB"/>
    <w:rsid w:val="0047082B"/>
    <w:rsid w:val="00475450"/>
    <w:rsid w:val="00477BE0"/>
    <w:rsid w:val="0048141D"/>
    <w:rsid w:val="00484014"/>
    <w:rsid w:val="00490032"/>
    <w:rsid w:val="0049277A"/>
    <w:rsid w:val="00493F08"/>
    <w:rsid w:val="004958C8"/>
    <w:rsid w:val="00495FF6"/>
    <w:rsid w:val="004A2E77"/>
    <w:rsid w:val="004B59BF"/>
    <w:rsid w:val="004C1AD4"/>
    <w:rsid w:val="004C20A3"/>
    <w:rsid w:val="004D6DC6"/>
    <w:rsid w:val="004D6FA7"/>
    <w:rsid w:val="004D7F62"/>
    <w:rsid w:val="004E17C1"/>
    <w:rsid w:val="004E2AE5"/>
    <w:rsid w:val="004E2FE3"/>
    <w:rsid w:val="004E3577"/>
    <w:rsid w:val="004E493A"/>
    <w:rsid w:val="004E5A3C"/>
    <w:rsid w:val="004E7E57"/>
    <w:rsid w:val="00501BD1"/>
    <w:rsid w:val="00504068"/>
    <w:rsid w:val="005065B5"/>
    <w:rsid w:val="00506B6F"/>
    <w:rsid w:val="00510739"/>
    <w:rsid w:val="005141D8"/>
    <w:rsid w:val="00516400"/>
    <w:rsid w:val="005165A7"/>
    <w:rsid w:val="00516E6C"/>
    <w:rsid w:val="00520221"/>
    <w:rsid w:val="0052075C"/>
    <w:rsid w:val="00521894"/>
    <w:rsid w:val="0053004E"/>
    <w:rsid w:val="00536299"/>
    <w:rsid w:val="00553B2E"/>
    <w:rsid w:val="005548B7"/>
    <w:rsid w:val="00561FBD"/>
    <w:rsid w:val="0056264C"/>
    <w:rsid w:val="005639A0"/>
    <w:rsid w:val="005653D3"/>
    <w:rsid w:val="0056640F"/>
    <w:rsid w:val="00566F57"/>
    <w:rsid w:val="005812B1"/>
    <w:rsid w:val="00582776"/>
    <w:rsid w:val="005847A7"/>
    <w:rsid w:val="00584F6B"/>
    <w:rsid w:val="00587FEF"/>
    <w:rsid w:val="005918DA"/>
    <w:rsid w:val="00593F96"/>
    <w:rsid w:val="005965CA"/>
    <w:rsid w:val="005A2A83"/>
    <w:rsid w:val="005A2F74"/>
    <w:rsid w:val="005A7D3C"/>
    <w:rsid w:val="005B3A7B"/>
    <w:rsid w:val="005C0CEE"/>
    <w:rsid w:val="005C4F63"/>
    <w:rsid w:val="005D348E"/>
    <w:rsid w:val="005D74F1"/>
    <w:rsid w:val="005E1D7A"/>
    <w:rsid w:val="005E282C"/>
    <w:rsid w:val="005E4A65"/>
    <w:rsid w:val="005E6C74"/>
    <w:rsid w:val="005F0D68"/>
    <w:rsid w:val="005F518A"/>
    <w:rsid w:val="00602E77"/>
    <w:rsid w:val="00606BC8"/>
    <w:rsid w:val="006104F4"/>
    <w:rsid w:val="00614AB8"/>
    <w:rsid w:val="006159C4"/>
    <w:rsid w:val="00617938"/>
    <w:rsid w:val="00624724"/>
    <w:rsid w:val="0062666C"/>
    <w:rsid w:val="006301F0"/>
    <w:rsid w:val="00631D1E"/>
    <w:rsid w:val="00633D9B"/>
    <w:rsid w:val="00634259"/>
    <w:rsid w:val="00637047"/>
    <w:rsid w:val="006403A8"/>
    <w:rsid w:val="006412FB"/>
    <w:rsid w:val="00650369"/>
    <w:rsid w:val="00650815"/>
    <w:rsid w:val="0065098E"/>
    <w:rsid w:val="00653A7C"/>
    <w:rsid w:val="00654B5A"/>
    <w:rsid w:val="00660ABF"/>
    <w:rsid w:val="00661DC8"/>
    <w:rsid w:val="00664B8A"/>
    <w:rsid w:val="006800F9"/>
    <w:rsid w:val="00686BF3"/>
    <w:rsid w:val="00692DC6"/>
    <w:rsid w:val="00693BE8"/>
    <w:rsid w:val="00694123"/>
    <w:rsid w:val="006A0A8A"/>
    <w:rsid w:val="006A147B"/>
    <w:rsid w:val="006A172E"/>
    <w:rsid w:val="006A2E9A"/>
    <w:rsid w:val="006A6638"/>
    <w:rsid w:val="006B1E44"/>
    <w:rsid w:val="006B4683"/>
    <w:rsid w:val="006B7FF0"/>
    <w:rsid w:val="006C07D5"/>
    <w:rsid w:val="006C5EF5"/>
    <w:rsid w:val="006C6435"/>
    <w:rsid w:val="006D19ED"/>
    <w:rsid w:val="006E05B5"/>
    <w:rsid w:val="006E0C85"/>
    <w:rsid w:val="006E3E2A"/>
    <w:rsid w:val="006E6E5B"/>
    <w:rsid w:val="006F087F"/>
    <w:rsid w:val="006F1907"/>
    <w:rsid w:val="006F2BB2"/>
    <w:rsid w:val="006F4593"/>
    <w:rsid w:val="006F5B9D"/>
    <w:rsid w:val="0070265C"/>
    <w:rsid w:val="00704D5E"/>
    <w:rsid w:val="00706649"/>
    <w:rsid w:val="00706852"/>
    <w:rsid w:val="00707E78"/>
    <w:rsid w:val="007145E5"/>
    <w:rsid w:val="0071529E"/>
    <w:rsid w:val="00715D85"/>
    <w:rsid w:val="007243C3"/>
    <w:rsid w:val="00724E79"/>
    <w:rsid w:val="0072724E"/>
    <w:rsid w:val="00731D93"/>
    <w:rsid w:val="00732445"/>
    <w:rsid w:val="00734DC3"/>
    <w:rsid w:val="00736A43"/>
    <w:rsid w:val="007400A0"/>
    <w:rsid w:val="00742F56"/>
    <w:rsid w:val="00744C60"/>
    <w:rsid w:val="00744E70"/>
    <w:rsid w:val="00760362"/>
    <w:rsid w:val="007606D4"/>
    <w:rsid w:val="007645D2"/>
    <w:rsid w:val="00766D0A"/>
    <w:rsid w:val="007727C2"/>
    <w:rsid w:val="00775134"/>
    <w:rsid w:val="00775FD4"/>
    <w:rsid w:val="00780E34"/>
    <w:rsid w:val="007812B3"/>
    <w:rsid w:val="00781897"/>
    <w:rsid w:val="00781AD3"/>
    <w:rsid w:val="00783DA7"/>
    <w:rsid w:val="00791BFC"/>
    <w:rsid w:val="0079474F"/>
    <w:rsid w:val="007953B4"/>
    <w:rsid w:val="00796742"/>
    <w:rsid w:val="007978AC"/>
    <w:rsid w:val="007A0EE6"/>
    <w:rsid w:val="007A36A7"/>
    <w:rsid w:val="007B18BB"/>
    <w:rsid w:val="007D2C06"/>
    <w:rsid w:val="007D5BBD"/>
    <w:rsid w:val="007E04D7"/>
    <w:rsid w:val="007E05DE"/>
    <w:rsid w:val="007E3B48"/>
    <w:rsid w:val="007E4846"/>
    <w:rsid w:val="007E666D"/>
    <w:rsid w:val="007F40DD"/>
    <w:rsid w:val="0080268F"/>
    <w:rsid w:val="008106AD"/>
    <w:rsid w:val="00811748"/>
    <w:rsid w:val="00814326"/>
    <w:rsid w:val="00814B64"/>
    <w:rsid w:val="00815616"/>
    <w:rsid w:val="00816E6B"/>
    <w:rsid w:val="0082095D"/>
    <w:rsid w:val="00824E40"/>
    <w:rsid w:val="0082602A"/>
    <w:rsid w:val="00835301"/>
    <w:rsid w:val="00837201"/>
    <w:rsid w:val="00840099"/>
    <w:rsid w:val="0084288B"/>
    <w:rsid w:val="00847955"/>
    <w:rsid w:val="00853F36"/>
    <w:rsid w:val="00856C70"/>
    <w:rsid w:val="008576BA"/>
    <w:rsid w:val="00860E2B"/>
    <w:rsid w:val="00862546"/>
    <w:rsid w:val="00862F66"/>
    <w:rsid w:val="0086688D"/>
    <w:rsid w:val="00872DA7"/>
    <w:rsid w:val="00875100"/>
    <w:rsid w:val="00881B8B"/>
    <w:rsid w:val="00882F05"/>
    <w:rsid w:val="00883235"/>
    <w:rsid w:val="008834C6"/>
    <w:rsid w:val="0088659C"/>
    <w:rsid w:val="00887742"/>
    <w:rsid w:val="00887DD9"/>
    <w:rsid w:val="00891F42"/>
    <w:rsid w:val="00894F7C"/>
    <w:rsid w:val="00896DDB"/>
    <w:rsid w:val="00897511"/>
    <w:rsid w:val="008A2028"/>
    <w:rsid w:val="008A25C5"/>
    <w:rsid w:val="008A36B8"/>
    <w:rsid w:val="008B1190"/>
    <w:rsid w:val="008B22F9"/>
    <w:rsid w:val="008C5856"/>
    <w:rsid w:val="008D0F61"/>
    <w:rsid w:val="008E43B8"/>
    <w:rsid w:val="008F0A78"/>
    <w:rsid w:val="008F62B8"/>
    <w:rsid w:val="008F6A2B"/>
    <w:rsid w:val="008F6E94"/>
    <w:rsid w:val="00907540"/>
    <w:rsid w:val="00912AFC"/>
    <w:rsid w:val="00912C97"/>
    <w:rsid w:val="00916808"/>
    <w:rsid w:val="00924889"/>
    <w:rsid w:val="00926746"/>
    <w:rsid w:val="009321C4"/>
    <w:rsid w:val="0093226A"/>
    <w:rsid w:val="009322A7"/>
    <w:rsid w:val="00933A63"/>
    <w:rsid w:val="00935A80"/>
    <w:rsid w:val="009374A9"/>
    <w:rsid w:val="00941411"/>
    <w:rsid w:val="00942AE8"/>
    <w:rsid w:val="009432BC"/>
    <w:rsid w:val="00947006"/>
    <w:rsid w:val="009509D9"/>
    <w:rsid w:val="0095173C"/>
    <w:rsid w:val="00957B48"/>
    <w:rsid w:val="009601A9"/>
    <w:rsid w:val="00964B77"/>
    <w:rsid w:val="0097191C"/>
    <w:rsid w:val="00974748"/>
    <w:rsid w:val="00981806"/>
    <w:rsid w:val="009818A2"/>
    <w:rsid w:val="00981DA8"/>
    <w:rsid w:val="009845D1"/>
    <w:rsid w:val="00985540"/>
    <w:rsid w:val="009859BE"/>
    <w:rsid w:val="009867FB"/>
    <w:rsid w:val="009873AB"/>
    <w:rsid w:val="00994B18"/>
    <w:rsid w:val="009A2834"/>
    <w:rsid w:val="009A4FDB"/>
    <w:rsid w:val="009A5998"/>
    <w:rsid w:val="009B04A3"/>
    <w:rsid w:val="009B124C"/>
    <w:rsid w:val="009B6A4F"/>
    <w:rsid w:val="009D2191"/>
    <w:rsid w:val="009E3109"/>
    <w:rsid w:val="009E346F"/>
    <w:rsid w:val="009E6889"/>
    <w:rsid w:val="009F5428"/>
    <w:rsid w:val="00A01EA5"/>
    <w:rsid w:val="00A030BF"/>
    <w:rsid w:val="00A039BA"/>
    <w:rsid w:val="00A0478D"/>
    <w:rsid w:val="00A05F04"/>
    <w:rsid w:val="00A063E6"/>
    <w:rsid w:val="00A074EE"/>
    <w:rsid w:val="00A16BED"/>
    <w:rsid w:val="00A20337"/>
    <w:rsid w:val="00A21792"/>
    <w:rsid w:val="00A27CEA"/>
    <w:rsid w:val="00A3034C"/>
    <w:rsid w:val="00A30BDA"/>
    <w:rsid w:val="00A30EC6"/>
    <w:rsid w:val="00A319F1"/>
    <w:rsid w:val="00A32A82"/>
    <w:rsid w:val="00A36EC2"/>
    <w:rsid w:val="00A36FFC"/>
    <w:rsid w:val="00A543FC"/>
    <w:rsid w:val="00A614BF"/>
    <w:rsid w:val="00A63038"/>
    <w:rsid w:val="00A66CC3"/>
    <w:rsid w:val="00A72445"/>
    <w:rsid w:val="00A73FC1"/>
    <w:rsid w:val="00A75DB9"/>
    <w:rsid w:val="00A80BF8"/>
    <w:rsid w:val="00A827B5"/>
    <w:rsid w:val="00A83EF3"/>
    <w:rsid w:val="00A915BE"/>
    <w:rsid w:val="00A979BB"/>
    <w:rsid w:val="00AC0658"/>
    <w:rsid w:val="00AC2372"/>
    <w:rsid w:val="00AC32AB"/>
    <w:rsid w:val="00AC3658"/>
    <w:rsid w:val="00AC4A6B"/>
    <w:rsid w:val="00AD056F"/>
    <w:rsid w:val="00AD099A"/>
    <w:rsid w:val="00AD50BD"/>
    <w:rsid w:val="00AD5DEB"/>
    <w:rsid w:val="00AD699D"/>
    <w:rsid w:val="00AE515A"/>
    <w:rsid w:val="00AE79E9"/>
    <w:rsid w:val="00AF29F7"/>
    <w:rsid w:val="00AF54AD"/>
    <w:rsid w:val="00B05E6F"/>
    <w:rsid w:val="00B06DFB"/>
    <w:rsid w:val="00B07A59"/>
    <w:rsid w:val="00B11B6D"/>
    <w:rsid w:val="00B239DE"/>
    <w:rsid w:val="00B23AA4"/>
    <w:rsid w:val="00B266A1"/>
    <w:rsid w:val="00B268FE"/>
    <w:rsid w:val="00B2694F"/>
    <w:rsid w:val="00B30CBD"/>
    <w:rsid w:val="00B37A78"/>
    <w:rsid w:val="00B50E9E"/>
    <w:rsid w:val="00B53877"/>
    <w:rsid w:val="00B543C1"/>
    <w:rsid w:val="00B545F5"/>
    <w:rsid w:val="00B566A5"/>
    <w:rsid w:val="00B56FE8"/>
    <w:rsid w:val="00B60476"/>
    <w:rsid w:val="00B6064D"/>
    <w:rsid w:val="00B6096A"/>
    <w:rsid w:val="00B65A78"/>
    <w:rsid w:val="00B70F92"/>
    <w:rsid w:val="00B718F9"/>
    <w:rsid w:val="00B73076"/>
    <w:rsid w:val="00B80708"/>
    <w:rsid w:val="00B80F7F"/>
    <w:rsid w:val="00B8604F"/>
    <w:rsid w:val="00B92057"/>
    <w:rsid w:val="00B925E0"/>
    <w:rsid w:val="00B92867"/>
    <w:rsid w:val="00B933AD"/>
    <w:rsid w:val="00B93562"/>
    <w:rsid w:val="00B97C28"/>
    <w:rsid w:val="00BA0432"/>
    <w:rsid w:val="00BA0A51"/>
    <w:rsid w:val="00BA4638"/>
    <w:rsid w:val="00BA6838"/>
    <w:rsid w:val="00BA6DB9"/>
    <w:rsid w:val="00BB0915"/>
    <w:rsid w:val="00BB1678"/>
    <w:rsid w:val="00BB25A6"/>
    <w:rsid w:val="00BB5A11"/>
    <w:rsid w:val="00BB5C23"/>
    <w:rsid w:val="00BB67B7"/>
    <w:rsid w:val="00BC0C29"/>
    <w:rsid w:val="00BC5098"/>
    <w:rsid w:val="00BC70F9"/>
    <w:rsid w:val="00BD1E4E"/>
    <w:rsid w:val="00BD434E"/>
    <w:rsid w:val="00BD4D30"/>
    <w:rsid w:val="00BD7473"/>
    <w:rsid w:val="00BE0434"/>
    <w:rsid w:val="00BE0872"/>
    <w:rsid w:val="00BE193B"/>
    <w:rsid w:val="00BE2921"/>
    <w:rsid w:val="00BE3597"/>
    <w:rsid w:val="00BE43E3"/>
    <w:rsid w:val="00BF2F3B"/>
    <w:rsid w:val="00BF5A06"/>
    <w:rsid w:val="00BF66EC"/>
    <w:rsid w:val="00BF6A9A"/>
    <w:rsid w:val="00C00985"/>
    <w:rsid w:val="00C00AD7"/>
    <w:rsid w:val="00C05FC0"/>
    <w:rsid w:val="00C07245"/>
    <w:rsid w:val="00C1023A"/>
    <w:rsid w:val="00C1213D"/>
    <w:rsid w:val="00C162AB"/>
    <w:rsid w:val="00C21E65"/>
    <w:rsid w:val="00C24B17"/>
    <w:rsid w:val="00C24CF5"/>
    <w:rsid w:val="00C265ED"/>
    <w:rsid w:val="00C34E08"/>
    <w:rsid w:val="00C3734F"/>
    <w:rsid w:val="00C37874"/>
    <w:rsid w:val="00C42184"/>
    <w:rsid w:val="00C474FD"/>
    <w:rsid w:val="00C517E8"/>
    <w:rsid w:val="00C54134"/>
    <w:rsid w:val="00C54E21"/>
    <w:rsid w:val="00C55AB2"/>
    <w:rsid w:val="00C56507"/>
    <w:rsid w:val="00C610B4"/>
    <w:rsid w:val="00C64930"/>
    <w:rsid w:val="00C65DF2"/>
    <w:rsid w:val="00C66BD6"/>
    <w:rsid w:val="00C71300"/>
    <w:rsid w:val="00C720E6"/>
    <w:rsid w:val="00C72A24"/>
    <w:rsid w:val="00C73579"/>
    <w:rsid w:val="00C767B8"/>
    <w:rsid w:val="00C77737"/>
    <w:rsid w:val="00C876C6"/>
    <w:rsid w:val="00C94E4F"/>
    <w:rsid w:val="00C951D2"/>
    <w:rsid w:val="00C9579A"/>
    <w:rsid w:val="00CA6DFF"/>
    <w:rsid w:val="00CA76C4"/>
    <w:rsid w:val="00CA7C35"/>
    <w:rsid w:val="00CB0F39"/>
    <w:rsid w:val="00CB203B"/>
    <w:rsid w:val="00CB2BA8"/>
    <w:rsid w:val="00CB60A9"/>
    <w:rsid w:val="00CC66CA"/>
    <w:rsid w:val="00CC7F01"/>
    <w:rsid w:val="00CD1BAA"/>
    <w:rsid w:val="00CD2787"/>
    <w:rsid w:val="00CD409B"/>
    <w:rsid w:val="00CD5083"/>
    <w:rsid w:val="00CD5D35"/>
    <w:rsid w:val="00CD7B23"/>
    <w:rsid w:val="00CE2BCC"/>
    <w:rsid w:val="00CE2C20"/>
    <w:rsid w:val="00CE645D"/>
    <w:rsid w:val="00CF073F"/>
    <w:rsid w:val="00D02C6D"/>
    <w:rsid w:val="00D0345C"/>
    <w:rsid w:val="00D03A6A"/>
    <w:rsid w:val="00D0409D"/>
    <w:rsid w:val="00D1309A"/>
    <w:rsid w:val="00D136C0"/>
    <w:rsid w:val="00D23165"/>
    <w:rsid w:val="00D266D8"/>
    <w:rsid w:val="00D303D8"/>
    <w:rsid w:val="00D331E3"/>
    <w:rsid w:val="00D34DF9"/>
    <w:rsid w:val="00D36AF8"/>
    <w:rsid w:val="00D37492"/>
    <w:rsid w:val="00D37B65"/>
    <w:rsid w:val="00D4076D"/>
    <w:rsid w:val="00D43A80"/>
    <w:rsid w:val="00D43A88"/>
    <w:rsid w:val="00D443B0"/>
    <w:rsid w:val="00D45A3B"/>
    <w:rsid w:val="00D46B5A"/>
    <w:rsid w:val="00D52126"/>
    <w:rsid w:val="00D525F1"/>
    <w:rsid w:val="00D55E2F"/>
    <w:rsid w:val="00D55E3A"/>
    <w:rsid w:val="00D65F8D"/>
    <w:rsid w:val="00D67F94"/>
    <w:rsid w:val="00D70D1B"/>
    <w:rsid w:val="00D83302"/>
    <w:rsid w:val="00D85DE1"/>
    <w:rsid w:val="00D8705C"/>
    <w:rsid w:val="00D9301B"/>
    <w:rsid w:val="00D95495"/>
    <w:rsid w:val="00D954E3"/>
    <w:rsid w:val="00D96D85"/>
    <w:rsid w:val="00DA55C1"/>
    <w:rsid w:val="00DA7F6A"/>
    <w:rsid w:val="00DB1F0C"/>
    <w:rsid w:val="00DB3B5E"/>
    <w:rsid w:val="00DB675E"/>
    <w:rsid w:val="00DB7AE8"/>
    <w:rsid w:val="00DC1205"/>
    <w:rsid w:val="00DC28D7"/>
    <w:rsid w:val="00DC2B3A"/>
    <w:rsid w:val="00DC434C"/>
    <w:rsid w:val="00DC63EF"/>
    <w:rsid w:val="00DC7085"/>
    <w:rsid w:val="00DD0300"/>
    <w:rsid w:val="00DD1F96"/>
    <w:rsid w:val="00DD4808"/>
    <w:rsid w:val="00DD64C8"/>
    <w:rsid w:val="00DD74AC"/>
    <w:rsid w:val="00DE2150"/>
    <w:rsid w:val="00DF05F4"/>
    <w:rsid w:val="00DF296B"/>
    <w:rsid w:val="00DF5FEE"/>
    <w:rsid w:val="00E01EA0"/>
    <w:rsid w:val="00E049CF"/>
    <w:rsid w:val="00E062A3"/>
    <w:rsid w:val="00E11579"/>
    <w:rsid w:val="00E131CA"/>
    <w:rsid w:val="00E13DD6"/>
    <w:rsid w:val="00E14017"/>
    <w:rsid w:val="00E1620C"/>
    <w:rsid w:val="00E2304A"/>
    <w:rsid w:val="00E276B7"/>
    <w:rsid w:val="00E27766"/>
    <w:rsid w:val="00E300AF"/>
    <w:rsid w:val="00E30FC2"/>
    <w:rsid w:val="00E33AD0"/>
    <w:rsid w:val="00E33D36"/>
    <w:rsid w:val="00E34E05"/>
    <w:rsid w:val="00E3590F"/>
    <w:rsid w:val="00E546DF"/>
    <w:rsid w:val="00E554EA"/>
    <w:rsid w:val="00E663F2"/>
    <w:rsid w:val="00E7310B"/>
    <w:rsid w:val="00E7589C"/>
    <w:rsid w:val="00E7792B"/>
    <w:rsid w:val="00E801DC"/>
    <w:rsid w:val="00E81134"/>
    <w:rsid w:val="00E839FB"/>
    <w:rsid w:val="00E86F3A"/>
    <w:rsid w:val="00E97E94"/>
    <w:rsid w:val="00EA2E1D"/>
    <w:rsid w:val="00EA6AEB"/>
    <w:rsid w:val="00EA7F98"/>
    <w:rsid w:val="00EB0494"/>
    <w:rsid w:val="00EB1D27"/>
    <w:rsid w:val="00EB54A2"/>
    <w:rsid w:val="00EB5AA1"/>
    <w:rsid w:val="00EC2D43"/>
    <w:rsid w:val="00ED0C97"/>
    <w:rsid w:val="00ED113D"/>
    <w:rsid w:val="00ED7325"/>
    <w:rsid w:val="00EF4287"/>
    <w:rsid w:val="00EF5597"/>
    <w:rsid w:val="00F01998"/>
    <w:rsid w:val="00F026F2"/>
    <w:rsid w:val="00F04B4C"/>
    <w:rsid w:val="00F06CDD"/>
    <w:rsid w:val="00F10608"/>
    <w:rsid w:val="00F16440"/>
    <w:rsid w:val="00F16883"/>
    <w:rsid w:val="00F1704E"/>
    <w:rsid w:val="00F218C1"/>
    <w:rsid w:val="00F230F5"/>
    <w:rsid w:val="00F239FD"/>
    <w:rsid w:val="00F244CC"/>
    <w:rsid w:val="00F26A47"/>
    <w:rsid w:val="00F2750F"/>
    <w:rsid w:val="00F31A34"/>
    <w:rsid w:val="00F31E09"/>
    <w:rsid w:val="00F42539"/>
    <w:rsid w:val="00F4302D"/>
    <w:rsid w:val="00F43147"/>
    <w:rsid w:val="00F432CB"/>
    <w:rsid w:val="00F50727"/>
    <w:rsid w:val="00F51DB7"/>
    <w:rsid w:val="00F54B12"/>
    <w:rsid w:val="00F62758"/>
    <w:rsid w:val="00F62AE8"/>
    <w:rsid w:val="00F654A7"/>
    <w:rsid w:val="00F751DE"/>
    <w:rsid w:val="00F7673F"/>
    <w:rsid w:val="00F76804"/>
    <w:rsid w:val="00F80415"/>
    <w:rsid w:val="00F8102A"/>
    <w:rsid w:val="00F84CBB"/>
    <w:rsid w:val="00F87406"/>
    <w:rsid w:val="00F87FC8"/>
    <w:rsid w:val="00F91A6A"/>
    <w:rsid w:val="00FA009F"/>
    <w:rsid w:val="00FA4291"/>
    <w:rsid w:val="00FA5391"/>
    <w:rsid w:val="00FA57DE"/>
    <w:rsid w:val="00FA6CF4"/>
    <w:rsid w:val="00FB0BE8"/>
    <w:rsid w:val="00FB358F"/>
    <w:rsid w:val="00FC14E5"/>
    <w:rsid w:val="00FC1B3B"/>
    <w:rsid w:val="00FC5219"/>
    <w:rsid w:val="00FD147C"/>
    <w:rsid w:val="00FD1EEA"/>
    <w:rsid w:val="00FD778E"/>
    <w:rsid w:val="00FE12A2"/>
    <w:rsid w:val="00FE3045"/>
    <w:rsid w:val="00FE5AEB"/>
    <w:rsid w:val="00FF109A"/>
    <w:rsid w:val="00FF27E7"/>
    <w:rsid w:val="00FF538B"/>
    <w:rsid w:val="00FF7F38"/>
    <w:rsid w:val="02572AE5"/>
    <w:rsid w:val="031710A9"/>
    <w:rsid w:val="039C5442"/>
    <w:rsid w:val="050A1096"/>
    <w:rsid w:val="07B05C31"/>
    <w:rsid w:val="09836607"/>
    <w:rsid w:val="0C56381E"/>
    <w:rsid w:val="0DED2BDC"/>
    <w:rsid w:val="0E7F6F63"/>
    <w:rsid w:val="0F6B0AEA"/>
    <w:rsid w:val="0F8A2092"/>
    <w:rsid w:val="10527522"/>
    <w:rsid w:val="1097590F"/>
    <w:rsid w:val="10A2253C"/>
    <w:rsid w:val="14EA2B4A"/>
    <w:rsid w:val="163943A4"/>
    <w:rsid w:val="19EB7118"/>
    <w:rsid w:val="1C1A5DA1"/>
    <w:rsid w:val="1FDB74BF"/>
    <w:rsid w:val="2161068E"/>
    <w:rsid w:val="223310E4"/>
    <w:rsid w:val="224E24D7"/>
    <w:rsid w:val="23AD67EF"/>
    <w:rsid w:val="26BB03D1"/>
    <w:rsid w:val="26D9214A"/>
    <w:rsid w:val="27695E37"/>
    <w:rsid w:val="29610BA9"/>
    <w:rsid w:val="29736AC1"/>
    <w:rsid w:val="29CD0869"/>
    <w:rsid w:val="2AC601A5"/>
    <w:rsid w:val="2C5F4402"/>
    <w:rsid w:val="2DC91521"/>
    <w:rsid w:val="2E1346E9"/>
    <w:rsid w:val="2F273E54"/>
    <w:rsid w:val="310D4EE4"/>
    <w:rsid w:val="310E43C5"/>
    <w:rsid w:val="317D1040"/>
    <w:rsid w:val="33D16011"/>
    <w:rsid w:val="35934571"/>
    <w:rsid w:val="35B3402E"/>
    <w:rsid w:val="37C05130"/>
    <w:rsid w:val="3C125245"/>
    <w:rsid w:val="3CE758E8"/>
    <w:rsid w:val="3E620FC3"/>
    <w:rsid w:val="403315B9"/>
    <w:rsid w:val="42A233A0"/>
    <w:rsid w:val="44080CC3"/>
    <w:rsid w:val="45E4196F"/>
    <w:rsid w:val="465C457C"/>
    <w:rsid w:val="485C36A3"/>
    <w:rsid w:val="48BC38E9"/>
    <w:rsid w:val="4A4946DC"/>
    <w:rsid w:val="4A7F05E8"/>
    <w:rsid w:val="5151441F"/>
    <w:rsid w:val="5296438C"/>
    <w:rsid w:val="55093F6B"/>
    <w:rsid w:val="5744749F"/>
    <w:rsid w:val="575B57D8"/>
    <w:rsid w:val="5C496465"/>
    <w:rsid w:val="5FF312E1"/>
    <w:rsid w:val="601C63BD"/>
    <w:rsid w:val="61537013"/>
    <w:rsid w:val="626019DF"/>
    <w:rsid w:val="640A312F"/>
    <w:rsid w:val="662B4291"/>
    <w:rsid w:val="66362EBA"/>
    <w:rsid w:val="667C039E"/>
    <w:rsid w:val="66853179"/>
    <w:rsid w:val="66CA5C56"/>
    <w:rsid w:val="68AC129E"/>
    <w:rsid w:val="68DC2268"/>
    <w:rsid w:val="697119CE"/>
    <w:rsid w:val="6C0E32DA"/>
    <w:rsid w:val="6F130713"/>
    <w:rsid w:val="6F556BE9"/>
    <w:rsid w:val="72BA283F"/>
    <w:rsid w:val="73807EBE"/>
    <w:rsid w:val="73EF5E99"/>
    <w:rsid w:val="7777600F"/>
    <w:rsid w:val="78D37FAF"/>
    <w:rsid w:val="79D378EE"/>
    <w:rsid w:val="7BCB3631"/>
    <w:rsid w:val="7BD93E20"/>
    <w:rsid w:val="7D7B78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autoRedefine/>
    <w:qFormat/>
    <w:uiPriority w:val="0"/>
    <w:pPr>
      <w:widowControl w:val="0"/>
      <w:autoSpaceDE w:val="0"/>
      <w:autoSpaceDN w:val="0"/>
      <w:adjustRightInd w:val="0"/>
      <w:spacing w:before="108" w:after="108" w:line="240" w:lineRule="auto"/>
      <w:jc w:val="center"/>
      <w:outlineLvl w:val="0"/>
    </w:pPr>
    <w:rPr>
      <w:rFonts w:ascii="Arial" w:hAnsi="Arial" w:eastAsia="Times New Roman" w:cs="Arial"/>
      <w:b/>
      <w:bCs/>
      <w:color w:val="000080"/>
      <w:sz w:val="24"/>
      <w:szCs w:val="24"/>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autoRedefine/>
    <w:unhideWhenUsed/>
    <w:qFormat/>
    <w:uiPriority w:val="99"/>
    <w:rPr>
      <w:color w:val="0000FF" w:themeColor="hyperlink"/>
      <w:u w:val="single"/>
      <w14:textFill>
        <w14:solidFill>
          <w14:schemeClr w14:val="hlink"/>
        </w14:solidFill>
      </w14:textFill>
    </w:rPr>
  </w:style>
  <w:style w:type="paragraph" w:styleId="6">
    <w:name w:val="Balloon Text"/>
    <w:basedOn w:val="1"/>
    <w:link w:val="13"/>
    <w:autoRedefine/>
    <w:semiHidden/>
    <w:unhideWhenUsed/>
    <w:qFormat/>
    <w:uiPriority w:val="99"/>
    <w:pPr>
      <w:spacing w:after="0" w:line="240" w:lineRule="auto"/>
    </w:pPr>
    <w:rPr>
      <w:rFonts w:ascii="Tahoma" w:hAnsi="Tahoma" w:cs="Tahoma"/>
      <w:sz w:val="16"/>
      <w:szCs w:val="16"/>
    </w:rPr>
  </w:style>
  <w:style w:type="paragraph" w:styleId="7">
    <w:name w:val="header"/>
    <w:basedOn w:val="1"/>
    <w:link w:val="19"/>
    <w:unhideWhenUsed/>
    <w:qFormat/>
    <w:uiPriority w:val="99"/>
    <w:pPr>
      <w:tabs>
        <w:tab w:val="center" w:pos="4677"/>
        <w:tab w:val="right" w:pos="9355"/>
      </w:tabs>
      <w:spacing w:after="0" w:line="240" w:lineRule="auto"/>
    </w:pPr>
  </w:style>
  <w:style w:type="paragraph" w:styleId="8">
    <w:name w:val="Body Text"/>
    <w:basedOn w:val="1"/>
    <w:link w:val="14"/>
    <w:autoRedefine/>
    <w:qFormat/>
    <w:uiPriority w:val="0"/>
    <w:pPr>
      <w:spacing w:after="0" w:line="240" w:lineRule="auto"/>
      <w:jc w:val="both"/>
    </w:pPr>
    <w:rPr>
      <w:rFonts w:ascii="Times New Roman" w:hAnsi="Times New Roman" w:eastAsia="Times New Roman" w:cs="Times New Roman"/>
      <w:sz w:val="28"/>
      <w:szCs w:val="20"/>
      <w:lang w:eastAsia="ru-RU"/>
    </w:rPr>
  </w:style>
  <w:style w:type="paragraph" w:styleId="9">
    <w:name w:val="footer"/>
    <w:basedOn w:val="1"/>
    <w:link w:val="20"/>
    <w:autoRedefine/>
    <w:unhideWhenUsed/>
    <w:qFormat/>
    <w:uiPriority w:val="99"/>
    <w:pPr>
      <w:tabs>
        <w:tab w:val="center" w:pos="4677"/>
        <w:tab w:val="right" w:pos="9355"/>
      </w:tabs>
      <w:spacing w:after="0" w:line="240" w:lineRule="auto"/>
    </w:p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
    <w:name w:val="Body Text Indent 2"/>
    <w:basedOn w:val="1"/>
    <w:link w:val="17"/>
    <w:autoRedefine/>
    <w:unhideWhenUsed/>
    <w:qFormat/>
    <w:uiPriority w:val="99"/>
    <w:pPr>
      <w:spacing w:after="120" w:line="480" w:lineRule="auto"/>
      <w:ind w:left="283"/>
    </w:pPr>
  </w:style>
  <w:style w:type="table" w:styleId="12">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Текст выноски Знак"/>
    <w:basedOn w:val="3"/>
    <w:link w:val="6"/>
    <w:semiHidden/>
    <w:qFormat/>
    <w:uiPriority w:val="99"/>
    <w:rPr>
      <w:rFonts w:ascii="Tahoma" w:hAnsi="Tahoma" w:cs="Tahoma"/>
      <w:sz w:val="16"/>
      <w:szCs w:val="16"/>
    </w:rPr>
  </w:style>
  <w:style w:type="character" w:customStyle="1" w:styleId="14">
    <w:name w:val="Основной текст Знак"/>
    <w:basedOn w:val="3"/>
    <w:link w:val="8"/>
    <w:qFormat/>
    <w:uiPriority w:val="0"/>
    <w:rPr>
      <w:rFonts w:ascii="Times New Roman" w:hAnsi="Times New Roman" w:eastAsia="Times New Roman" w:cs="Times New Roman"/>
      <w:sz w:val="28"/>
      <w:szCs w:val="20"/>
      <w:lang w:eastAsia="ru-RU"/>
    </w:rPr>
  </w:style>
  <w:style w:type="paragraph" w:styleId="15">
    <w:name w:val="List Paragraph"/>
    <w:basedOn w:val="1"/>
    <w:autoRedefine/>
    <w:qFormat/>
    <w:uiPriority w:val="34"/>
    <w:pPr>
      <w:ind w:left="720"/>
      <w:contextualSpacing/>
    </w:pPr>
  </w:style>
  <w:style w:type="character" w:customStyle="1" w:styleId="16">
    <w:name w:val="Заголовок 1 Знак"/>
    <w:basedOn w:val="3"/>
    <w:link w:val="2"/>
    <w:autoRedefine/>
    <w:qFormat/>
    <w:uiPriority w:val="0"/>
    <w:rPr>
      <w:rFonts w:ascii="Arial" w:hAnsi="Arial" w:eastAsia="Times New Roman" w:cs="Arial"/>
      <w:b/>
      <w:bCs/>
      <w:color w:val="000080"/>
      <w:sz w:val="24"/>
      <w:szCs w:val="24"/>
      <w:lang w:eastAsia="ru-RU"/>
    </w:rPr>
  </w:style>
  <w:style w:type="character" w:customStyle="1" w:styleId="17">
    <w:name w:val="Основной текст с отступом 2 Знак"/>
    <w:basedOn w:val="3"/>
    <w:link w:val="11"/>
    <w:qFormat/>
    <w:uiPriority w:val="99"/>
  </w:style>
  <w:style w:type="paragraph" w:customStyle="1" w:styleId="18">
    <w:name w:val="ConsPlusNormal"/>
    <w:qFormat/>
    <w:uiPriority w:val="0"/>
    <w:pPr>
      <w:autoSpaceDE w:val="0"/>
      <w:autoSpaceDN w:val="0"/>
      <w:adjustRightInd w:val="0"/>
    </w:pPr>
    <w:rPr>
      <w:rFonts w:ascii="Times New Roman" w:hAnsi="Times New Roman" w:cs="Times New Roman" w:eastAsiaTheme="minorHAnsi"/>
      <w:sz w:val="28"/>
      <w:szCs w:val="28"/>
      <w:lang w:val="ru-RU" w:eastAsia="en-US" w:bidi="ar-SA"/>
    </w:rPr>
  </w:style>
  <w:style w:type="character" w:customStyle="1" w:styleId="19">
    <w:name w:val="Верхний колонтитул Знак"/>
    <w:basedOn w:val="3"/>
    <w:link w:val="7"/>
    <w:autoRedefine/>
    <w:qFormat/>
    <w:uiPriority w:val="99"/>
  </w:style>
  <w:style w:type="character" w:customStyle="1" w:styleId="20">
    <w:name w:val="Нижний колонтитул Знак"/>
    <w:basedOn w:val="3"/>
    <w:link w:val="9"/>
    <w:qFormat/>
    <w:uiPriority w:val="99"/>
  </w:style>
  <w:style w:type="character" w:customStyle="1" w:styleId="21">
    <w:name w:val="font21"/>
    <w:autoRedefine/>
    <w:qFormat/>
    <w:uiPriority w:val="0"/>
    <w:rPr>
      <w:rFonts w:hint="default" w:ascii="Arial" w:hAnsi="Arial" w:cs="Arial"/>
      <w:color w:val="292C2F"/>
      <w:u w:val="none"/>
    </w:rPr>
  </w:style>
  <w:style w:type="character" w:customStyle="1" w:styleId="22">
    <w:name w:val="font11"/>
    <w:qFormat/>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5492</Words>
  <Characters>31307</Characters>
  <Lines>260</Lines>
  <Paragraphs>73</Paragraphs>
  <TotalTime>10</TotalTime>
  <ScaleCrop>false</ScaleCrop>
  <LinksUpToDate>false</LinksUpToDate>
  <CharactersWithSpaces>36726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2023-04-13T06:42:00Z</dcterms:created>
  <dc:creator>KSP1</dc:creator>
  <cp:lastModifiedBy>y_zhuravleva</cp:lastModifiedBy>
  <cp:lastPrinted>2025-04-21T05:25:47Z</cp:lastPrinted>
  <dcterms:modified xsi:type="dcterms:W3CDTF">2025-04-21T05:27:14Z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5026ED70E8044514A5A65CD8184D6466</vt:lpwstr>
  </property>
</Properties>
</file>