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«АХТУБИНСКИЙ МУНИЦИПАЛЬНЫЙ РАЙОН АСТРАХАНСКОЙ ОБЛАСТИ»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Волгоградская ул., д.141, г. Ахтубинск, Астраханская обл.,416500, Тел. (8-85141) 4-04-24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ОКПО 78317643, ОГРН 1063022000282, ИНН/КПП 3001040259/300101001</w:t>
      </w:r>
    </w:p>
    <w:p>
      <w:pPr>
        <w:pBdr>
          <w:top w:val="thinThickSmallGap" w:color="auto" w:sz="24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результатам внешней проверки годовой бюджетной отчётности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главного администратора бюджетных средств</w:t>
      </w:r>
    </w:p>
    <w:p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муниципального образования «Ахтубинский муниципальный район Астраханской области»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-Администрация муниципального образования «Ахтубинский район»</w:t>
      </w:r>
    </w:p>
    <w:p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>
      <w:pPr>
        <w:spacing w:after="0" w:line="240" w:lineRule="auto"/>
        <w:ind w:left="567" w:right="-144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right="282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19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.04.202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№ З-1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4</w:t>
      </w:r>
    </w:p>
    <w:p>
      <w:pPr>
        <w:spacing w:after="0" w:line="240" w:lineRule="auto"/>
        <w:ind w:left="567" w:right="282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Основание для проведения проверки: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264.4 Бюджетного кодекса Российской Федерации и План работы Контрольно-счетной палаты муниципального образования «Ахтубинский муниципальный район Астраханской области»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(далее - КСП МО «Ахтубинский район»)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год.</w:t>
      </w:r>
    </w:p>
    <w:p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Ответственные должностные лица, подписавшие отчётность:</w:t>
      </w:r>
    </w:p>
    <w:p>
      <w:pPr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МО «Ахтубинский район» Михед В.В;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Начальник отдела бухгалтерского учёта Ясинкая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Н.В.</w:t>
      </w:r>
    </w:p>
    <w:p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416500, Астраханская область, г. Ахтубинск, ул. Волгоградская д.141, телефон: (85141) 5-11-88.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годовая бюджетная отчётность главных администраторов бюджетных средств – ГАБС (главные администраторы доходов бюджета, главные распорядители бюджетных средств, главные администраторы источников финансирования дефицита бюджета).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внешней проверки являются: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отчётности главных администраторов средств районного бюджета;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отчётности главных администраторов средств районного бюджета;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учёта, законодательству Российской Федерации, Астраханской области, муниципальным правовым актам Ахтубинского района;</w:t>
      </w:r>
    </w:p>
    <w:p>
      <w:pPr>
        <w:pStyle w:val="1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>
      <w:pPr>
        <w:pStyle w:val="1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Заключение подготовлено на основании камеральной проверки годовой бюджетной отчётности главного администратора бюджетных средств МО «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год, проведённой в соответствии с: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Бюджетным кодексом Российской Федерации (далее – БК РФ);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Порядком осуществления внешней проверки годового отчёта об исполнении бюджета муниципального образования «Ахтубинский район», утверждённым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16.03.2017г №295); 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28.12.2010 №191н "Об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Федерации" (далее - Инструкция №191н);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01.12.2010 №157н "Об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№157н);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06.12.2010 №162н "Об утверждении Плана счетов бюджетного учёта и Инструкции по его применению" (далее – Инструкция №162н).</w:t>
      </w:r>
    </w:p>
    <w:p>
      <w:pPr>
        <w:pStyle w:val="15"/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Приказом Минфина России от 31.12.2016 №257н "Об утверждении федерального стандарта бухгалтерского учета для организаций государственного сектора "Основные средства" (далее - Приказ от 31.12.2016 №257н)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;</w:t>
      </w:r>
    </w:p>
    <w:p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Приказ Минфина России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)далее - Приказ от 15.04.2021 №61н).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сведения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Полное наименование: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дминистрация муниципального образования «Ахтубинский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(далее - Администрация).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(85141) 4-04-01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adm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mo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ahtubinsk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@mail.ru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ИНН/КПП: 3012000794/ 300101001.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Подведомственное учреждение: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Муниципальное казенное учреждение «Управление по хозяйственному и транспортному обеспечению муниципального образования «Ахтубинский район».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 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действующие в проверяемом периоде и на момент проверки: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№1</w:t>
      </w:r>
    </w:p>
    <w:tbl>
      <w:tblPr>
        <w:tblStyle w:val="4"/>
        <w:tblW w:w="93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7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01253D04010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 xml:space="preserve"> счёт ГРБС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04010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ПБС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04253D04010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 xml:space="preserve"> счёт администратора доходов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04010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для учёта операций со средствами, поступающими во временное распоряжение получателя бюджетных средств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08253D04010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администратора источников внутреннего финансирования дефицита бюджета</w:t>
            </w:r>
          </w:p>
        </w:tc>
      </w:tr>
    </w:tbl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Ответственными должностными лицами за финансово - хозяйственную деятельность Администрации в проверяемом периоде являлись с правом:</w:t>
      </w:r>
    </w:p>
    <w:p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>
      <w:pPr>
        <w:pStyle w:val="10"/>
        <w:spacing w:before="0" w:beforeAutospacing="0" w:afterAutospacing="0"/>
        <w:jc w:val="both"/>
      </w:pPr>
      <w:r>
        <w:rPr>
          <w:rFonts w:hint="default"/>
          <w:lang w:val="ru-RU"/>
        </w:rPr>
        <w:t>-</w:t>
      </w:r>
      <w:r>
        <w:t xml:space="preserve"> Глава муниципального образования «Ахтубинский район» - Михед Владимир Васильевич, назначен на должность с 14.07.2022г. по настоящее время (Решение Совета МО «Ахтубинский район» от 14.07.2022 №296).;</w:t>
      </w:r>
    </w:p>
    <w:p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второй подписи:</w:t>
      </w:r>
    </w:p>
    <w:p>
      <w:pPr>
        <w:pStyle w:val="10"/>
        <w:spacing w:before="0" w:beforeAutospacing="0" w:afterAutospacing="0"/>
        <w:jc w:val="both"/>
      </w:pPr>
      <w:r>
        <w:t xml:space="preserve">Начальник отдела бухгалтерского учёта - </w:t>
      </w:r>
      <w:r>
        <w:rPr>
          <w:lang w:val="ru-RU"/>
        </w:rPr>
        <w:t>Ясинская</w:t>
      </w:r>
      <w:r>
        <w:rPr>
          <w:rFonts w:hint="default"/>
          <w:lang w:val="ru-RU"/>
        </w:rPr>
        <w:t xml:space="preserve"> Нина Викторовна</w:t>
      </w:r>
      <w:r>
        <w:t xml:space="preserve">, назначена на должность </w:t>
      </w:r>
      <w:r>
        <w:rPr>
          <w:rFonts w:hint="default"/>
          <w:lang w:val="ru-RU"/>
        </w:rPr>
        <w:t>15.11.2023</w:t>
      </w:r>
      <w:r>
        <w:t xml:space="preserve"> г. по настоящее время (распоряжение администрации МО «Ахтубинский район» от </w:t>
      </w:r>
      <w:r>
        <w:rPr>
          <w:rFonts w:hint="default"/>
          <w:lang w:val="ru-RU"/>
        </w:rPr>
        <w:t>15.11.2023</w:t>
      </w:r>
      <w:r>
        <w:t xml:space="preserve"> г. №</w:t>
      </w:r>
      <w:r>
        <w:rPr>
          <w:rFonts w:hint="default"/>
          <w:lang w:val="ru-RU"/>
        </w:rPr>
        <w:t>214</w:t>
      </w:r>
      <w:r>
        <w:t xml:space="preserve"> л/с).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Годовая отчётность Администрации за 202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год сформирована на 01.01.202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г. и представлена в финансовый орган до 2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.01.202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г., что соответствует сроку, установленному приказом Финансового управления администрации МО «Ахтубинский район» от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19.12.2023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г. №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164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-С.</w:t>
      </w:r>
    </w:p>
    <w:p>
      <w:pPr>
        <w:pStyle w:val="10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lang w:eastAsia="zh-CN"/>
        </w:rPr>
        <w:t>Согласно Порядку от 16.03.2017 № 295 для ГРБС установлен срок представления годовой отчётности за 202</w:t>
      </w:r>
      <w:r>
        <w:rPr>
          <w:rFonts w:hint="default"/>
          <w:lang w:val="ru-RU" w:eastAsia="zh-CN"/>
        </w:rPr>
        <w:t>3</w:t>
      </w:r>
      <w:r>
        <w:rPr>
          <w:lang w:eastAsia="zh-CN"/>
        </w:rPr>
        <w:t xml:space="preserve"> год – 20.03.202</w:t>
      </w:r>
      <w:r>
        <w:rPr>
          <w:rFonts w:hint="default"/>
          <w:lang w:val="ru-RU" w:eastAsia="zh-CN"/>
        </w:rPr>
        <w:t>4</w:t>
      </w:r>
      <w:r>
        <w:rPr>
          <w:lang w:eastAsia="zh-CN"/>
        </w:rPr>
        <w:t>г.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Бюджетная отчётность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год направлена в адрес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КСП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МО «Ахтубинский район» в соответствии с установленными сроками (статья 264.4 БК РФ), (письмо Администрации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19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.03.202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г. исх.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61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5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отчётности.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п.11.1, п.59.1, п.70.1 Инструкции №191н представлена следующая бюджетная отчётность: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481"/>
        <w:gridCol w:w="146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ф.0503125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(ГРБС)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назначениях (ПБС)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ф.0503123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  <w:tc>
          <w:tcPr>
            <w:tcW w:w="15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сводной пояснительной записке ф.0503160 представлены следующие таблицы и приложения: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№13 «</w:t>
      </w:r>
      <w:r>
        <w:rPr>
          <w:rFonts w:ascii="Times New Roman" w:hAnsi="Times New Roman"/>
          <w:sz w:val="24"/>
          <w:szCs w:val="24"/>
        </w:rPr>
        <w:t>Анализ отчета об исполнении бюджета субъектом бюджетной отчетности»;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№14 «Анализ показателей отчетности субъекта бюджетной отчетности»;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об исполнении бюджета» (ф.0503164);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движении нефинансовых активов» (ф.0503168);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по дебиторской и кредиторской задолженности» (ф.0503169);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«Сведения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баланса» (ф. 0503173);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принятых и неисполненных обязательствах получателя бюджетных средств» (ф.0503175);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« Сведения об остатках денежных средств на счетах получателя бюджетных средств» (ф.0503178);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незавершённого строительства (ф. 0503190);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</w:t>
      </w:r>
      <w:r>
        <w:rPr>
          <w:rFonts w:ascii="Times New Roman" w:hAnsi="Times New Roman"/>
          <w:sz w:val="24"/>
          <w:szCs w:val="24"/>
        </w:rPr>
        <w:t>ведения об исполнении судебных решений по денежным обязательствам»</w:t>
      </w:r>
      <w:r>
        <w:rPr>
          <w:rFonts w:ascii="Times New Roman" w:hAnsi="Times New Roman" w:cs="Times New Roman"/>
          <w:sz w:val="24"/>
          <w:szCs w:val="24"/>
        </w:rPr>
        <w:t xml:space="preserve"> (ф.0503296).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п.4 Инструкции №191н бюджетная отчётность представлена на бумажном носителе в сброшюрованном и пронумерованном виде с оглавлением и сопроводительным письмом. Бюджетная отчётность содержит все формы отчётов, предусмотренных Инструкцией №191н (за исключением форм бюджетной отчётности, не имеющих числового значения) и подписана электронной подписью.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отчётность составлена нарастающим итогом с начала года в рублях с точностью до второго десятичного знака после запятой (п.9 Инструкции №191н).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проверки выполнения контрольных соотношений между показателями форм бюджетной отчётности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Главные книги за 2023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 0503130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и МКУ «УХТО»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п.7 Инструкции №191н в целях составления годовой бюджетной отчётности проведена инвентаризация активов и обязательств в порядке, установленном экономическим субъектом в рамках формирования его учётной политики.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подтверждения показателей годовой бюджетной отчётности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проведении инвентаризации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31.10.2023 г.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0000-00001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 xml:space="preserve">дена инвентаризация.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В нарушение требований Инструкции №157н, ФЗ №402-ФЗ, п.3.44, 3.48 Методических указаний от 13.06.1995 №49, п.7 Инструкции №191н перед составлением годовой отчетности инвентаризация финансовых активов и обязательств проведена не в полном объеме (акты сверок с контрагентами не представлены), в связи с чем, подтвердить достоверность данных по счетам бухгалтерского учета и баланса не представляется возможным.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eastAsia="zh-CN"/>
        </w:rPr>
        <w:t xml:space="preserve">Контрольно-счетная палата рекомендует перед составлением годовой бухгалтерской отчетности проводить инвентаризацию объектов нефинансовых активов и финансовых обязательств в полном объеме.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</w:p>
    <w:p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Проверка правильности составления, ведения бюджетной росписи ГРБС.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п. 1 ст. 217, п. 1 ст. 219.1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  <w:highlight w:val="none"/>
          <w:lang w:val="ru-RU" w:eastAsia="zh-CN"/>
        </w:rPr>
        <w:t>утвержден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 приказ Финансового управления от 31.12.2015 №44-с «Об утверждении Порядка составления и ве</w:t>
      </w:r>
      <w:r>
        <w:rPr>
          <w:rFonts w:ascii="Times New Roman" w:hAnsi="Times New Roman" w:cs="Times New Roman"/>
          <w:sz w:val="24"/>
          <w:szCs w:val="24"/>
          <w:lang w:eastAsia="zh-CN"/>
        </w:rPr>
        <w:t>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 xml:space="preserve">, (далее -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Поряд</w:t>
      </w:r>
      <w:r>
        <w:rPr>
          <w:rFonts w:ascii="Times New Roman" w:hAnsi="Times New Roman" w:cs="Times New Roman"/>
          <w:sz w:val="24"/>
          <w:szCs w:val="24"/>
          <w:highlight w:val="none"/>
          <w:lang w:val="ru-RU" w:eastAsia="zh-CN"/>
        </w:rPr>
        <w:t>ок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 ведения бюджетной росписи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)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установленным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Порядком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ведения бюджетной роспис</w:t>
      </w:r>
      <w:r>
        <w:rPr>
          <w:rFonts w:ascii="Times New Roman" w:hAnsi="Times New Roman" w:cs="Times New Roman"/>
          <w:sz w:val="24"/>
          <w:szCs w:val="24"/>
          <w:highlight w:val="none"/>
          <w:lang w:val="ru-RU" w:eastAsia="zh-CN"/>
        </w:rPr>
        <w:t>и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, бюд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жетные ассигнования по расходам на 2023 год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утверждены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МО «Ахтубинский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Астраханской области</w:t>
      </w:r>
      <w:r>
        <w:rPr>
          <w:rFonts w:ascii="Times New Roman" w:hAnsi="Times New Roman" w:cs="Times New Roman"/>
          <w:sz w:val="24"/>
          <w:szCs w:val="24"/>
        </w:rPr>
        <w:t>» от 28.12.2023 №404 «О внесении изменений в решение Совета МО «Ахтубинский район» от 08.12.2022 №309 «О бюджете муниципального образования «Ахтубинский муниципальный район Астраханской области» на 2023 год и плановый период 2024-2025 годов»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 требованиям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и Порядка ведения бюджетной росписи, бюдже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Показатели сводной бюджетной росписи главного распорядителя бюджетных средств представлены в таблице:</w:t>
      </w:r>
    </w:p>
    <w:p>
      <w:pPr>
        <w:wordWrap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Таблица №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(руб.)</w:t>
      </w:r>
    </w:p>
    <w:tbl>
      <w:tblPr>
        <w:tblStyle w:val="4"/>
        <w:tblW w:w="93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57"/>
        <w:gridCol w:w="3339"/>
        <w:gridCol w:w="1696"/>
        <w:gridCol w:w="1751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Раздел/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подраздел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Наименование раздела, подраздела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Утверждено Решением Совета от 28.12.2023 №404 на 2023 год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Утверждено бюджетной росписью на 2023 год (приказ №176-С от 29.12.2023г.)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Изменение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1650 558,64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1650 558,64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33365 652,72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33365 652,72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Судебная система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2 000,00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2 000,00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429 630,00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429 630,00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42941 115,92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45301 377,64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2360 261,72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305 700,00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305 700,00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Гражданская оборона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361 788,00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361 788,00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300 000,00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300 000,00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Сельское хозяйство и рыболовство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39521 716,74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39521 716,74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76117 974,09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76117 974,09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400 188,07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400 188,07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6488 605,92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6263 948,39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-224 657,53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Коммунальное хозяйство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14849 999,08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14849 999,08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219 727,43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219 727,43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Сбор, удаление отходов и очистка сточных вод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2461 048,36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2461 048,36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1285 847,49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1285 847,49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104 198,21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104 198,21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Другие вопросы в области образования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1523 100,00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1523 100,00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9129 729,84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9129 729,84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2135 519,35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2135 519,35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7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Физическая культура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2107 362,84 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2107 362,84 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Периодическая печать и издательства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1109 700,00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1109 700,00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43 020,37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43 020,37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0,00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236854 183,07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238989 787,26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2135 604,19 </w:t>
            </w:r>
          </w:p>
        </w:tc>
      </w:tr>
    </w:tbl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Изменение сводной бюджетной росписи осуществлялось Финансовым управлением в соответствии с Порядком ведения бюджетной росписи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.</w:t>
      </w:r>
    </w:p>
    <w:p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представленной бухгалтерской отчётностью доходы, администрируемые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Администрацией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составили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736889,66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руб. при плане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745644,78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руб., исполнение составило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98,83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%. Расходы составили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186637032,03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руб. при плане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238989787,26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руб., исполнение составило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78,09</w:t>
      </w:r>
      <w:r>
        <w:rPr>
          <w:rFonts w:ascii="Times New Roman" w:hAnsi="Times New Roman" w:cs="Times New Roman"/>
          <w:sz w:val="24"/>
          <w:szCs w:val="24"/>
          <w:lang w:eastAsia="zh-CN"/>
        </w:rPr>
        <w:t>%.</w:t>
      </w:r>
    </w:p>
    <w:p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zh-CN"/>
        </w:rPr>
        <w:t>Проверка правильности составления, ведения бюджетной отчётности.</w:t>
      </w:r>
    </w:p>
    <w:p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Проверка полноты бюджетной отчётности в части её соответствия по составу и установленным формам, достоверности отражения показателей бюджетной отчётности по их соответствию положениям Инструкции №191н проведена выборочным способом.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требованиями п.7 Инструкции №191н бюджетная отчётность составлена: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на основе данных Главной книги и (или) других регистров бюджетного учёта;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- на основе плановых (прогнозных) и (или) аналитических (управленческих) данных, сформированных в ходе осуществления субъектом учёта своей деятельности.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П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оказатели форм отчётности соответствуют остаткам и оборотам по счетам, отражённым в главных книгах.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4.1. Справка по заключению счетов бюджетного учёта отчётного финансового года (ф.0503110).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Во исполнение п.43 Инструкции №191н справка отражает обороты по счетам бюджетного учёта, подлежащим закрытию по завершении отчётного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Раздел 1 «Бюджетная деятельность» справки сформирован на основании данных по соответствующим номерам счетов 0.401.10 «Доходы текущего финансового года», 0.401.20 «Расходы текущего финансового года» в сумме показателей на 01.01.2024 (графы 2,3) и в сумме заключительных операций по закрытию счетов, произведённых по завершении 2023 года (графы 4-7). Данные показателей ф.0503110 сопоставимы с данными ф. 0503121.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4.2. Отчёт о финансовых результатах деятельности (ф.0503121).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Отчёт ф.0503121 представлен в составе годовой бюджетной отчётности (п.п.10, 92 Инструкции №191н). Во исполнение п.92-93 Инструкции №191н отчёт содержит данные о финансовых результатах деятельности в разрезе кодов КОСГУ по состоянию на 01.01.2024г., отражённые в рамках бюджетной деятельности (гр.4) и итогового показателя (гр.6).</w:t>
      </w:r>
    </w:p>
    <w:p>
      <w:pPr>
        <w:spacing w:after="0" w:line="240" w:lineRule="auto"/>
        <w:ind w:firstLine="567"/>
        <w:jc w:val="right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Таблица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45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№п/п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Показатель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Бюджетная деятельность,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Доходы (стр. 010)</w:t>
            </w:r>
          </w:p>
        </w:tc>
        <w:tc>
          <w:tcPr>
            <w:tcW w:w="2135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68872126,24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Расходы (стр.150)</w:t>
            </w:r>
          </w:p>
        </w:tc>
        <w:tc>
          <w:tcPr>
            <w:tcW w:w="2135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245849030,58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Чистый операционный результат </w:t>
            </w:r>
          </w:p>
        </w:tc>
        <w:tc>
          <w:tcPr>
            <w:tcW w:w="2135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-176976904,34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Операции с нефинансовыми активами (стр. 310)</w:t>
            </w:r>
          </w:p>
        </w:tc>
        <w:tc>
          <w:tcPr>
            <w:tcW w:w="2135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8274957,76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5.</w:t>
            </w:r>
          </w:p>
        </w:tc>
        <w:tc>
          <w:tcPr>
            <w:tcW w:w="6450" w:type="dxa"/>
            <w:shd w:val="clear" w:color="auto" w:fill="auto"/>
            <w:vAlign w:val="center"/>
          </w:tcPr>
          <w:p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Операции с финансовыми активами и обязательствами (стр.410)</w:t>
            </w:r>
          </w:p>
        </w:tc>
        <w:tc>
          <w:tcPr>
            <w:tcW w:w="2135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-185251862,10</w:t>
            </w:r>
          </w:p>
        </w:tc>
      </w:tr>
    </w:tbl>
    <w:p>
      <w:pPr>
        <w:spacing w:before="120"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Доходы в размере (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68872126,24</w:t>
      </w:r>
      <w:r>
        <w:rPr>
          <w:rFonts w:ascii="Times New Roman" w:hAnsi="Times New Roman" w:cs="Times New Roman"/>
          <w:sz w:val="24"/>
          <w:szCs w:val="24"/>
          <w:highlight w:val="none"/>
        </w:rPr>
        <w:t>) руб. сложились за счёт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:</w:t>
      </w:r>
    </w:p>
    <w:p>
      <w:pPr>
        <w:spacing w:before="12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налоговые доходы (код КОСГУ 110) - 5000,00 руб.;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доходы от собственности (код КОСГУ 120)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491398,84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доходы от оказания платных услуг (код КОСГУ 130)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109808,23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штрафы, пени, неустойки (код КОСГУ 140)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93756,88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безвозмездные поступления (код КОСГУ 150)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доходов от операций с активами (код КОСГУ 170)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26423686,64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прочие доходы (код КОСГУ 180)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59210,00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безвозмездные неденежные поступления (код КОСГУ 190)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41689265,65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</w:t>
      </w:r>
    </w:p>
    <w:p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4.3. Отчёт о движении денежных средств (ф.0503123).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п.146 Инструкции №191н отчёт содержит данные о движении денежных средств в кассе, на счёте по состоянию на 01.01.2024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г. и составлен в разрезе КОСГУ. Информация сгруппирована по видам операций: текущие, инвестиционные, финансовые. Показатели графы 4 Отчёта (ф.0503123) сформированы на основании данных по видам поступлений и выбытий, с учётом возвратов текущего финансового периода.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Сумма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"consultantplus://offline/ref=827AC9A5E62DFDDB7D04897F3119B8BA47CEE20C384A92A7311A1AF96C7C502A7D3D2E439D81FE5269D41AE7A2C3C7E592C86EE01B76D2wAEEL"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строк 5010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"consultantplus://offline/ref=827AC9A5E62DFDDB7D04897F3119B8BA47CEE20C384A92A7311A1AF96C7C502A7D3D2E439D81FE5169D41AE7A2C3C7E592C86EE01B76D2wAEEL"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5020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за вычетом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"consultantplus://offline/ref=827AC9A5E62DFDDB7D04897F3119B8BA47CEE20C384A92A7311A1AF96C7C502A7D3D2E439D8EF85A69D41AE7A2C3C7E592C86EE01B76D2wAEEL"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строки 4400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суммы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"consultantplus://offline/ref=827AC9A5E62DFDDB7D04897F3119B8BA47CEE20C384A92A7311A1AF96C7C502A7D3D2E439D8EF65469D41AE7A2C3C7E592C86EE01B76D2wAEEL"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строк 4610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"consultantplus://offline/ref=827AC9A5E62DFDDB7D04897F3119B8BA47CEE20C384A92A7311A1AF96C7C502A7D3D2E439D8EF65B69D41AE7A2C3C7E592C86EE01B76D2wAEEL"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4620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отчёта (ф.0503123) равняется сумме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"consultantplus://offline/ref=827AC9A5E62DFDDB7D04897F3119B8BA47CEE20C384A92A7311A1AF96C7C502A7D3D2E43998BFD5A608B1FF2B39BCBE58DD66AFA0774D0AFw8EDL"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строк 700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"consultantplus://offline/ref=827AC9A5E62DFDDB7D04897F3119B8BA47CEE20C384A92A7311A1AF96C7C502A7D3D2E43998BFD5A6B8B1FF2B39BCBE58DD66AFA0774D0AFw8EDL"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810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граф 5 и 6 Отчёта (ф.0503127) без учёта остатков в кассе.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Статьёй 34 БК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(экономности) и (или) достижения наилучшего результата с использованием определённого бюджетом объёма средств (результативности).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12"/>
          <w:szCs w:val="1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2023 году произведены расходы по уплате штрафов за нарушение законодательства о закупках и нарушение условий контрактов в размере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50000,00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(ф. 0503123 код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КОСГУ 293).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 xml:space="preserve">В нарушение ст.34 БК РФ допущено неэффективное использование бюджетных средств, произведены расходы по уплате штрафов и пени на общую сумму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highlight w:val="none"/>
          <w:lang w:val="ru-RU"/>
        </w:rPr>
        <w:t>50000,00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 xml:space="preserve"> рублей.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  <w:highlight w:val="yellow"/>
        </w:rPr>
      </w:pPr>
    </w:p>
    <w:p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4.4. Справка по консолидируемым расчётам (ф.0503125).</w:t>
      </w:r>
    </w:p>
    <w:p>
      <w:pPr>
        <w:tabs>
          <w:tab w:val="left" w:pos="1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п.23 Инструкции №191н справка по консолидируемым расчётам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отчётности и представляется на 1 января года, следующего за отчётным, по денежным и неденежным расчётам.</w:t>
      </w:r>
    </w:p>
    <w:p>
      <w:pPr>
        <w:tabs>
          <w:tab w:val="left" w:pos="17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Справка (ф.0503125) составлена нарастающим итогом с начала финансового года на основании данных, отражённых на отчётную дату на соответствующих счетах: 130111710 "Увеличение задолженности перед бюджетами бюджетной системы Российской Федерации по привлечённым бюджетным кредитам в рублях",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130111810 "Уменьшение задолженности перед бюджетами бюджетной системы Российской Федерации по привлечённым бюджетным кредитам в рублях",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130404000 "Внутриведомственные расчёты",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140120281 "Расходы на безвозмездные перечисления капитального характера государственным (муниципальным) учреждениям",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140110191 «Доходы от безвозмездных неденежных поступлений текущего характера от сектора государственного управления и организаций государственного сектора», </w:t>
      </w:r>
      <w:r>
        <w:rPr>
          <w:rFonts w:ascii="Times New Roman" w:hAnsi="Times New Roman" w:cs="Times New Roman"/>
          <w:sz w:val="24"/>
          <w:szCs w:val="24"/>
          <w:highlight w:val="none"/>
        </w:rPr>
        <w:t>140110195 «Доходы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сектора»</w:t>
      </w:r>
      <w:r>
        <w:rPr>
          <w:rFonts w:ascii="Times New Roman" w:hAnsi="Times New Roman"/>
          <w:sz w:val="24"/>
          <w:szCs w:val="24"/>
          <w:highlight w:val="none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При сопоставлении данных, содержащихся в Справке по консолидируемым расчётам (ф.0503125), с показателями по соответствующим счетам, отражённым в Главных книгах за 2023 год, нарушения не установлены.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4.5. 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Отчёт раскрывает бюджетную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"consultantplus://offline/ref=FF3DB571B2F08C93F47E057097A9F3D75329E5619206DA4B28C691DD3EF6BE472DB07AEE7B5DD32ED77D0113CBB4D33D5860C924B24DF3B3Y0E9M"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информацию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обеспечивает сопоставление утверждённых (доведённых) бюджетных назначений с данными об исполнении бюджета. При заполнении документа руководствуются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"consultantplus://offline/ref=FF3DB571B2F08C93F47E057097A9F3D7532AE66E9508DA4B28C691DD3EF6BE472DB07AEE7B5DD725D77D0113CBB4D33D5860C924B24DF3B3Y0E9M"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п.п.52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-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"consultantplus://offline/ref=FF3DB571B2F08C93F47E057097A9F3D7532AE66E9508DA4B28C691DD3EF6BE472DB07AEE7B5DD62FD37D0113CBB4D33D5860C924B24DF3B3Y0E9M"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59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"consultantplus://offline/ref=FF3DB571B2F08C93F47E057097A9F3D7532AE66E9508DA4B28C691DD3EF6BE472DB07AEE7B5DD628D47D0113CBB4D33D5860C924B24DF3B3Y0E9M"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-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"consultantplus://offline/ref=FF3DB571B2F08C93F47E057097A9F3D7532AE66E9508DA4B28C691DD3EF6BE472DB07AE87956877D902358418FFFDE3D467CC925YAEDM"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62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Инструкции №191н.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Показатели по строке 500 раздела «Источники финансирования дефицита бюджета» в графах 5, 6, 7, 8 равны показателям, отражённым по строке 450 в графах 6, 7, 8, 9 соответственно, с противоположным знаком.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Показатели Отчёта (ф.0503127) сопоставимы с показателями Отчёта (ф.0503123) (отчёт показывает движение денежных средств на счетах учреждения).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Показатели граф 4, 5 и 9 разд. 2 и 3 Отчёта (ф.0503127) сопоставимы с показателями граф 4, 5 и 10 разд. 1 и 2 Отчёта (ф.0503128) соответственно.</w:t>
      </w:r>
    </w:p>
    <w:p>
      <w:pPr>
        <w:pStyle w:val="10"/>
        <w:spacing w:before="0" w:beforeAutospacing="0" w:after="0" w:afterAutospacing="0"/>
        <w:ind w:firstLine="567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highlight w:val="none"/>
          <w:lang w:eastAsia="en-US"/>
        </w:rPr>
        <w:t xml:space="preserve">Сумма доходов, отражённая в Отчёте (ф.0503127) по разделу «Доходы бюджета - всего» в графе 5 «Исполнено, через финансовые органы» – </w:t>
      </w:r>
      <w:r>
        <w:rPr>
          <w:rFonts w:hint="default" w:eastAsiaTheme="minorHAnsi"/>
          <w:highlight w:val="none"/>
          <w:lang w:val="ru-RU" w:eastAsia="en-US"/>
        </w:rPr>
        <w:t>736889,66</w:t>
      </w:r>
      <w:r>
        <w:rPr>
          <w:rFonts w:eastAsiaTheme="minorHAnsi"/>
          <w:highlight w:val="none"/>
          <w:lang w:eastAsia="en-US"/>
        </w:rPr>
        <w:t xml:space="preserve"> руб. соответствует </w:t>
      </w:r>
      <w:r>
        <w:rPr>
          <w:highlight w:val="none"/>
        </w:rPr>
        <w:t>кредитовым оборотам</w:t>
      </w:r>
      <w:r>
        <w:rPr>
          <w:rFonts w:eastAsiaTheme="minorHAnsi"/>
          <w:highlight w:val="none"/>
          <w:lang w:eastAsia="en-US"/>
        </w:rPr>
        <w:t xml:space="preserve"> по соответствующим счетам счета 0.210.02 «Расчёты с финансовым органом по поступлениям в бюджет» в главных книгах за 2023 год с учётом возвратов денежных средств.</w:t>
      </w:r>
    </w:p>
    <w:p>
      <w:pPr>
        <w:pStyle w:val="10"/>
        <w:spacing w:before="0" w:beforeAutospacing="0" w:after="0" w:afterAutospacing="0"/>
        <w:ind w:firstLine="567"/>
        <w:jc w:val="both"/>
        <w:rPr>
          <w:rFonts w:eastAsiaTheme="minorHAnsi"/>
          <w:highlight w:val="none"/>
          <w:lang w:eastAsia="en-US"/>
        </w:rPr>
      </w:pPr>
      <w:r>
        <w:rPr>
          <w:highlight w:val="none"/>
        </w:rPr>
        <w:t xml:space="preserve">Сумма расходов, отражённая в Отчёте (ф.0503127) по разделу «Расходы бюджета - всего» в графе 6 «Исполнено, через финансовые органы» – </w:t>
      </w:r>
      <w:r>
        <w:rPr>
          <w:rFonts w:hint="default"/>
          <w:highlight w:val="none"/>
          <w:lang w:val="ru-RU"/>
        </w:rPr>
        <w:t>186637032,03</w:t>
      </w:r>
      <w:r>
        <w:rPr>
          <w:highlight w:val="none"/>
        </w:rPr>
        <w:t xml:space="preserve"> руб. соответствует кредитовым оборотам по соответствующим счетам счета 0.304.05 «Расчёты по платежам из бюджета с финансовым органом» в главных книгах за 2023 год с </w:t>
      </w:r>
      <w:r>
        <w:rPr>
          <w:rFonts w:eastAsiaTheme="minorHAnsi"/>
          <w:highlight w:val="none"/>
          <w:lang w:eastAsia="en-US"/>
        </w:rPr>
        <w:t>учётом возвратов денежных средств.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 Нарушений не выявлено.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4.6. Отчёт о бюджетных обязательствах (ф.0503128).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Отчёт составлен на основании данных о принятых и исполненных бюджетных обязательствах и представлен по состоянию на 01.01.2024г. Показатели отражены на основании данных об обязательствах, подлежащих исполнению в 2023 году (п.п.68, 69 Инструкции №191н). Отчёт заполнен в порядке, приведённом в п.п.70, 71 - 73 Инструкции №191н.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По разделу 1 «Бюджетные обязательства текущего (отчётного) финансового года по расходам» заполнение: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- графы 4 в части доведённых бюджетных ассигнований осуществлялось на основании данных по кредитовому обороту соответствующих счетов аналитического учёта счета 0.503.13 «Бюджетные ассигнования получателей бюджетных средств и администраторов выплат по источникам текущего финансового года»;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- графы 5 - отражались показатели лимитов бюджетных обязательств, доведённых себе как получателю бюджетных средств за отчётный период с учётом изменений: кредит соответствующих счетов аналитического учёта счета 0.501.13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учёта счета 0.501.15 «Полученные лимиты бюджетных обязательств (на текущий финансовый год)». Нарушений не установлено.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Показатели граф 4, 5 и 10 разд. 1 и 2 Отчёта (ф.0503128) сопоставимы с показателями граф 4, 5 и 9 Отчёта (ф.0503127) соответственно (п.73 Инструкции №191н). Лимиты бюджетных ассигнований, установленные Решением Совета МО «Ахтубинский район» от 08.12.2022 №309 «О бюджете муниципального образования «Ахтубинский муниципальный район Астраханской области» на 2023 год и на плановый период 2024 и 2025 годов» (в редакции от 28.12.2023г. №404) в сумме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238989787,26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соответствуют гр.4, 5 раздела 1 Отчёта (ф.0503128).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Бюджетные ассигнования по расходам в сумме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238989787,26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утверждённые Приказом Финансового управления МО «Ахтубинский район» от 29.12.2023г. №176-С «Об утверждении сводной бюджетной росписи бюджета муниципального образования «Ахтубинский муниципальный район Астраханской области» на 2023 год и плановый период 2024 и 2025 годов» соответствуют гр. 4, 5 раздела 1 «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"consultantplus://offline/ref=4D973BE1B9845E6C6757B7A303DB4D29A2999F46B219EB80A89B45DBBAE6BD776605CB2664E1C3F48DD924C9E97291BBF162BF4D5395BDk764J"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Бюджетные обязательства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текущего (отчётного) финансового года по расходам» Отчёта (ф.0503128).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п.70.1 в целях формирования сводного Отчёта (ф.0503128) дополнительно сформирован отчёт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Нарушений не выявлено.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(ф.0503130, далее - Баланс).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Баланс содержит данные о нефинансовых и финансовых активах, обязательствах на первый и последний день отчётного периода по счетам бюджетного учёта.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п.13 Инструкции №191н показатели в Балансе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отчётного периода (графы 6, 7, 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Во исполнение п.14-15 Инструкции №191н в Балансе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отчётного периода» предыдущего года. В графах «На конец отчётного периода» отражены данные по состоянию на 01.01.2024г. с учётом проведённых при завершении финансового года заключительных оборотов по счетам бюджетного учёта.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Показатели строки 700 Баланса соответствуют идентичным показателям строки 350.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Данные Баланса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составе Баланса сформирована справка о наличии имущества и обязательств на забалансовых счетах на начало и конец периода.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 w:eastAsia="zh-CN"/>
        </w:rPr>
        <w:t xml:space="preserve">4.7.1. </w:t>
      </w:r>
      <w:r>
        <w:rPr>
          <w:rFonts w:hint="default" w:ascii="Times New Roman" w:hAnsi="Times New Roman"/>
          <w:sz w:val="24"/>
          <w:szCs w:val="24"/>
          <w:highlight w:val="none"/>
          <w:lang w:eastAsia="zh-CN"/>
        </w:rPr>
        <w:t>Земельные участки, по которым собственность не разграничена, вовлекаемые органами местного самоуправления в хозяйственный оборот, учитываются на счете 103 13 "Прочие непроизведенные активы недвижимое имущество учреждения" (пп. 10, 16 Стандарта "Непроизведенные активы", п. 71 Инструкции N 157н, п. 16 Инструкции N 162н, письмо Минфина России от 23.09.2020 N 02-07-10/83379).</w:t>
      </w:r>
      <w:r>
        <w:rPr>
          <w:rFonts w:hint="default" w:ascii="Times New Roman" w:hAnsi="Times New Roman"/>
          <w:sz w:val="24"/>
          <w:szCs w:val="24"/>
          <w:highlight w:val="none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Согласно данным, предоставленным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Администрацией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 по счёту 0.103.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 «Непроизведенные активы», учтены земельные участки на общую сумму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 xml:space="preserve">492139067,63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руб.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>В соответствии с п.36, п.37, п.38 Федерального стандарта «Непроизведенные активы», утверждённого приказом Минфина России от 28.02.2018 №34н, и письмом Минфина России от 29.05.2020г. №02-06-10/45902 переоценка земельных участков производится ежегодно по справедливой (актуальной) стоимости, в качестве которой используется кадастровая стоимость, после внесения изменений в ЕГРН или в результате проведения государственной кадастровой переоценки.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>Проверка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 xml:space="preserve"> проведена выборочно, п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>о состоянию на 01.01.2024г.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, согласно данных сайта lk.rosreestr.ru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 выявлено несоответствие кадастровой стоимости земельных участков по данным бухгалтерского учёта и сведений, внесённых в ЕГРН: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en-US" w:eastAsia="ru-RU"/>
        </w:rPr>
        <w:t>Таблица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  <w:lang w:val="en-US" w:eastAsia="ru-RU"/>
        </w:rPr>
        <w:t xml:space="preserve"> (руб. )</w:t>
      </w:r>
    </w:p>
    <w:tbl>
      <w:tblPr>
        <w:tblStyle w:val="4"/>
        <w:tblW w:w="100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987"/>
        <w:gridCol w:w="1598"/>
        <w:gridCol w:w="1676"/>
        <w:gridCol w:w="1431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restar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№п/п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Кадастровый номер земельного участка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, адрес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Стоимость земельного участка по данным бюджетного учёта на 01.01.2024 г.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 xml:space="preserve">Сведения согласно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zh-CN" w:eastAsia="zh-CN"/>
              </w:rPr>
              <w:t>Выписк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zh-CN" w:eastAsia="zh-CN"/>
              </w:rPr>
              <w:t xml:space="preserve"> из ЕГРН о кадастровой стоимости объектов недвижимости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Расхождение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vMerge w:val="continue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987" w:type="dxa"/>
            <w:vMerge w:val="continue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598" w:type="dxa"/>
            <w:vMerge w:val="continue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кадастровая стоимость земельного участка по состоянию на 01.04.2024</w:t>
            </w:r>
          </w:p>
        </w:tc>
        <w:tc>
          <w:tcPr>
            <w:tcW w:w="1431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zh-CN" w:eastAsia="zh-CN"/>
              </w:rPr>
              <w:t>дата внесения сведений о кадастровой стоимости в ЕГРН</w:t>
            </w: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2987" w:type="dxa"/>
            <w:shd w:val="clear" w:color="auto" w:fill="auto"/>
            <w:vAlign w:val="bottom"/>
          </w:tcPr>
          <w:p>
            <w:pPr>
              <w:spacing w:line="240" w:lineRule="auto"/>
              <w:jc w:val="left"/>
              <w:textAlignment w:val="bottom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30:01: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 xml:space="preserve">090202:96, 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en-US" w:eastAsia="zh-CN"/>
              </w:rPr>
              <w:t>Астраханская область, Ахтубинский район, село Покровка, ул. Молодежная, д. 9А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225567,00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211100,00</w:t>
            </w:r>
          </w:p>
        </w:tc>
        <w:tc>
          <w:tcPr>
            <w:tcW w:w="1431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.02.2023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-14467,00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2</w:t>
            </w:r>
          </w:p>
        </w:tc>
        <w:tc>
          <w:tcPr>
            <w:tcW w:w="2987" w:type="dxa"/>
            <w:shd w:val="clear" w:color="auto" w:fill="auto"/>
            <w:vAlign w:val="bottom"/>
          </w:tcPr>
          <w:p>
            <w:pPr>
              <w:spacing w:line="240" w:lineRule="auto"/>
              <w:jc w:val="left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30:01:0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00000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637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en-US" w:eastAsia="zh-CN"/>
              </w:rPr>
              <w:t>Астраханская область, р-н Ахтубинский, с. Батаевка, 5-6 км северо-восточнее с. Батаевка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327955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,50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428271,30</w:t>
            </w:r>
          </w:p>
        </w:tc>
        <w:tc>
          <w:tcPr>
            <w:tcW w:w="1431" w:type="dxa"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28.01.2023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+100315,80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eastAsia="zh-CN"/>
              </w:rPr>
              <w:t>3</w:t>
            </w:r>
          </w:p>
        </w:tc>
        <w:tc>
          <w:tcPr>
            <w:tcW w:w="2987" w:type="dxa"/>
            <w:shd w:val="clear" w:color="auto" w:fill="auto"/>
            <w:vAlign w:val="bottom"/>
          </w:tcPr>
          <w:p>
            <w:pPr>
              <w:spacing w:line="240" w:lineRule="auto"/>
              <w:jc w:val="left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30:01:0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000000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884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ru-RU" w:eastAsia="zh-CN"/>
              </w:rPr>
              <w:t xml:space="preserve"> Астраханская область, р-н Ахтубинский, 16-17км. южнее с. Капустин Яр, в районе х. Галички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1299644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1611558,87</w:t>
            </w:r>
          </w:p>
        </w:tc>
        <w:tc>
          <w:tcPr>
            <w:tcW w:w="1431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13.01.2023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+311914,62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987" w:type="dxa"/>
            <w:shd w:val="clear" w:color="auto" w:fill="auto"/>
            <w:vAlign w:val="bottom"/>
          </w:tcPr>
          <w:p>
            <w:pPr>
              <w:jc w:val="left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010101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ru-RU" w:eastAsia="zh-CN"/>
              </w:rPr>
              <w:t xml:space="preserve">Астраханская обл. , Ахтубинский р-н 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243998,52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288011,40</w:t>
            </w:r>
          </w:p>
        </w:tc>
        <w:tc>
          <w:tcPr>
            <w:tcW w:w="1431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07.12.2023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+44012,88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5</w:t>
            </w:r>
          </w:p>
        </w:tc>
        <w:tc>
          <w:tcPr>
            <w:tcW w:w="2987" w:type="dxa"/>
            <w:shd w:val="clear" w:color="auto" w:fill="auto"/>
            <w:vAlign w:val="bottom"/>
          </w:tcPr>
          <w:p>
            <w:pPr>
              <w:jc w:val="left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ru-RU" w:eastAsia="zh-CN"/>
              </w:rPr>
              <w:t xml:space="preserve">:01:020101:350, </w:t>
            </w:r>
            <w:r>
              <w:rPr>
                <w:rFonts w:hint="default" w:ascii="Times New Roman" w:hAnsi="Times New Roman" w:eastAsia="SimSun"/>
                <w:color w:val="000000"/>
                <w:sz w:val="22"/>
                <w:szCs w:val="22"/>
                <w:highlight w:val="none"/>
                <w:lang w:val="en-US" w:eastAsia="zh-CN"/>
              </w:rPr>
              <w:t>Астраханская область, р-н Ахтубинский, 9,5-10 км юго-западнее с.Болхуны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168164,00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207732,00</w:t>
            </w:r>
          </w:p>
        </w:tc>
        <w:tc>
          <w:tcPr>
            <w:tcW w:w="1431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13.01.2023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2"/>
                <w:szCs w:val="22"/>
                <w:highlight w:val="none"/>
                <w:lang w:val="ru-RU" w:eastAsia="zh-CN"/>
              </w:rPr>
              <w:t>+39568,00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415" w:type="dxa"/>
            <w:gridSpan w:val="5"/>
            <w:shd w:val="clear" w:color="auto" w:fill="auto"/>
            <w:vAlign w:val="center"/>
          </w:tcPr>
          <w:p>
            <w:pPr>
              <w:jc w:val="right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ИТОГО</w:t>
            </w:r>
          </w:p>
        </w:tc>
        <w:tc>
          <w:tcPr>
            <w:tcW w:w="1594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highlight w:val="none"/>
                <w:lang w:val="ru-RU" w:eastAsia="zh-CN" w:bidi="ar"/>
              </w:rPr>
              <w:t>481344,29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highlight w:val="none"/>
        </w:rPr>
        <w:t>Таким образом, в нарушение ст.13 ФЗ №402-ФЗ, п.7 Инструкции №191н, п.38 Инструкции №157н и допущено нарушение требований к бюджетному (бухгалтерскому) учёту, повлёкшее 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редставление бюджетной отчётности, содержащей искажение показателей бюджетной отчётности по состоянию на 01.01.202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общую сумму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137176846,97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руб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Контрольно-счетную </w:t>
      </w:r>
      <w:r>
        <w:rPr>
          <w:rFonts w:hint="default" w:ascii="Times New Roman" w:hAnsi="Times New Roman" w:eastAsia="SimSun"/>
          <w:color w:val="000000"/>
          <w:sz w:val="22"/>
          <w:szCs w:val="22"/>
          <w:highlight w:val="none"/>
          <w:lang w:val="ru-RU" w:eastAsia="zh-CN"/>
        </w:rPr>
        <w:t xml:space="preserve">палату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период проверки предоставлены Сведения об изменении валюты баланса (ф.0503173) на конец отчётного периода 2023 года с кодом причины 03 (исправление ошибок прошлых лет), произведена корректировка кадастровой стоимости земельных участков на общую сумму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137176846,97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/>
          <w:i/>
          <w:iCs/>
          <w:sz w:val="24"/>
          <w:szCs w:val="24"/>
          <w:highlight w:val="none"/>
          <w:lang w:val="ru-RU"/>
        </w:rPr>
        <w:t>Контрольно-счетная палата рекомендует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усилить контроль за ежегодной переоценкой кадастровой стоимости земельных участков и отражением операций на счетах бухгалтерского учёта.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300" w:firstLineChars="12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4.7.2. Контрольно-счетная палата отмечает,что в связи с вступлением в силу с 1 января 2023 года редакции Налогового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instrText xml:space="preserve">HYPERLINK https://login.consultant.ru/link/?req=doc&amp;base=LAW&amp;n=454148 </w:instrTex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кодекса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Российской Федерации, предусматривающей новый порядок исполнения налоговых обязательств налогоплательщиками, плательщиками сбора, плательщиками страховых взносов, налоговыми агентами путём перечисления денежных средств в бюджетную систему Российской Федерации на счет Федерального казначейства в качестве единого налогового платежа (далее - ЕНП),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instrText xml:space="preserve">HYPERLINK https://login.consultant.ru/link/?req=doc&amp;base=LAW&amp;n=436432 </w:instrTex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приказом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Министерства финансов Российской Федерации от 21 декабря 2022 г. N 192н «О внесении изменений в приказ Министерства финансов Российской Федерации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применению"(далее - Приказ N 192н) внесены изменения в Единый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instrText xml:space="preserve">HYPERLINK https://login.consultant.ru/link/?req=doc&amp;base=LAW&amp;n=450185&amp;dst=520 </w:instrTex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план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счетов бухгалтерского учёта для органов государственной власти и Инструкцию N 157н).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едены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новые счета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(п.83 Приказа от 21.12.2022 г. №192н)</w:t>
      </w:r>
      <w:r>
        <w:rPr>
          <w:rFonts w:hint="default" w:ascii="Times New Roman" w:hAnsi="Times New Roman" w:eastAsia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- 0 303 14 000 "Расчеты по единому налоговому платежу";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- 0 303 15 000 "Расчеты по единому страховому тарифу".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https://login.consultant.ru/link/?req=doc&amp;base=LAW&amp;n=450185&amp;dst=11582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b/>
          <w:color w:val="0000FF"/>
          <w:sz w:val="24"/>
          <w:szCs w:val="24"/>
        </w:rPr>
        <w:t>Счет 0 303 14 000</w:t>
      </w:r>
      <w:r>
        <w:rPr>
          <w:rFonts w:hint="default" w:ascii="Times New Roman" w:hAnsi="Times New Roman" w:eastAsia="Times New Roman"/>
          <w:b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b/>
          <w:sz w:val="24"/>
          <w:szCs w:val="24"/>
        </w:rPr>
        <w:t xml:space="preserve"> -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предназначен для перечисления в доход бюджета сумм налогов, сборов, страховых взносов и иных обязательных платежей, входящих в состав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https://login.consultant.ru/link/?req=doc&amp;base=PBUN&amp;n=90&amp;dst=100012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</w:rPr>
        <w:t>ЕНП</w:t>
      </w:r>
      <w:r>
        <w:rPr>
          <w:rFonts w:hint="default" w:ascii="Times New Roman" w:hAnsi="Times New Roman" w:eastAsia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https://login.consultant.ru/link/?req=doc&amp;base=LAW&amp;n=448974&amp;dst=32929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</w:rPr>
        <w:t>п. 104</w:t>
      </w:r>
      <w:r>
        <w:rPr>
          <w:rFonts w:hint="default" w:ascii="Times New Roman" w:hAnsi="Times New Roman" w:eastAsia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Инструкции N 162н,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https://login.consultant.ru/link/?req=doc&amp;base=QSBO&amp;n=24389&amp;dst=100010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</w:rPr>
        <w:t>Письмо</w:t>
      </w:r>
      <w:r>
        <w:rPr>
          <w:rFonts w:hint="default" w:ascii="Times New Roman" w:hAnsi="Times New Roman" w:eastAsia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Минфина России от 14.09.2023 N 02-07-10/88219)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b/>
          <w:color w:val="0000FF"/>
          <w:sz w:val="24"/>
          <w:szCs w:val="24"/>
          <w:lang w:val="ru-RU"/>
        </w:rPr>
        <w:t>Счет 0 303 15 000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- предназначен для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отраж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ения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расчет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 страховым взносам на ОПС, ОМС и на случай ВНиМ, , входящих в состав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https://login.consultant.ru/link/?req=doc&amp;base=PBUN&amp;n=90&amp;dst=100012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</w:rPr>
        <w:t>ЕНП</w:t>
      </w:r>
      <w:r>
        <w:rPr>
          <w:rFonts w:hint="default" w:ascii="Times New Roman" w:hAnsi="Times New Roman" w:eastAsia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https://login.consultant.ru/link/?req=doc&amp;base=LAW&amp;n=448974&amp;dst=32929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</w:rPr>
        <w:t>п. 104</w:t>
      </w:r>
      <w:r>
        <w:rPr>
          <w:rFonts w:hint="default" w:ascii="Times New Roman" w:hAnsi="Times New Roman" w:eastAsia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Инструкции N 162н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Уменьшение расчётов с бюджетом по единому страховому тарифу отражается на основании документа налогового органа о принадлежности сумм денежных средств (Письма Минфина России от 22.09.2023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instrText xml:space="preserve">HYPERLINK https://login.consultant.ru/link/?req=doc&amp;base=QSBO&amp;n=24404&amp;dst=100010 </w:instrTex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N 02-06-10/90743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, от 14.09.2023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instrText xml:space="preserve">HYPERLINK https://login.consultant.ru/link/?req=doc&amp;base=QSBO&amp;n=24389&amp;dst=100010 </w:instrTex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N 02-07-10/88219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целях корректного раскрытия в бюджетной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бухгалтерской отчетности информации о расчетах по налогам (сборам), уплачиваемым посредством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ЕНП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субъектам учета необходимо регулярно осуществлять сверку данных с налоговыми органами с учетом рекомендаций, доведенных Минфином России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https://login.consultant.ru/link/?req=doc&amp;base=LAW&amp;n=451640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0000FF"/>
          <w:sz w:val="24"/>
          <w:szCs w:val="24"/>
        </w:rPr>
        <w:t>письмом</w:t>
      </w:r>
      <w:r>
        <w:rPr>
          <w:rFonts w:hint="default" w:ascii="Times New Roman" w:hAnsi="Times New Roman" w:eastAsia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от 30 июня 2023 г. N 02-07-07/60961.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В ходе проверки выявлено, что на 01.01.2024 г. у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меньшение расчётов с бюджетом по единому страховому тарифу произведено без сверки с налоговым органом.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i/>
          <w:iCs/>
          <w:sz w:val="24"/>
          <w:szCs w:val="24"/>
          <w:highlight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709"/>
        <w:jc w:val="both"/>
        <w:textAlignment w:val="auto"/>
        <w:rPr>
          <w:rFonts w:hint="default" w:ascii="Times New Roman" w:hAnsi="Times New Roman" w:eastAsia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/>
          <w:iCs/>
          <w:sz w:val="24"/>
          <w:szCs w:val="24"/>
          <w:lang w:val="ru-RU"/>
        </w:rPr>
        <w:t>Контрольно-счетная палата рекомендует в целях корректного раскрытия в бюджетной и бухгалтерской отчетности информации о расчетах по налогам (сборам) регулярно осуществлять сверку данных с налоговыми органами с учетом рекомендаций, доведенных Минфином России письмом от 30 июня 2023 г. N 02-07-07/60961.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4.8. Пояснительная записка (ф.0503160).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п.152 Инструкции №191н Пояснительная записка составлена в разрезе следующих разделов: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Раздел 1 «Организационная структура субъекта бюджетной отчётности» содержит: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Сведения о наличии 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подведомственн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ого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учреждени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МКУ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«УХТО» и ведении бухгалтерского учёта в соответствии с соглашением от 04.02.2021 г. №29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 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б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открытых счетах в органе казначейства.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Сведения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о количестве унитарных предприятий (5 шт.)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"https://login.consultant.ru/link/?req=doc&amp;base=LAW&amp;n=467434&amp;dst=17781"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о направлениях деятельности (Таблица №1) - не представлена, так как имеет нулевые значения, данная информация отражена в пояснительной записке (ф.0503160).</w:t>
      </w:r>
    </w:p>
    <w:p>
      <w:pPr>
        <w:spacing w:after="0" w:line="240" w:lineRule="auto"/>
        <w:ind w:firstLine="539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"https://login.consultant.ru/link/?req=doc&amp;base=LAW&amp;n=467434&amp;dst=26189"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об организационной структуре субъекта бюджетной отчётности (Таблица №11) - не предоставляется ГРБС, согласно п. 159.4 Инструкции №191н.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Раздел 2 «Результаты деятельности субъекта бюджетной отчётности»: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результатах деятельности субъекта бюджетной отчётности (Таблица №12) -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предоставляется ГРБС, согласно п. 159.5 Инструкции №191н.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Представлена информация 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нефинансовых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активах.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Раздел 3 «Анализ отчёта об исполнении бюджета субъектом бюджетной отчётности» содержит: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об исполнении текстовых статей закона (решения) о бюджете (Таблица №3)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не представлены, так как имеют нулевые значения. 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об исполнении бюджета (ф.0503164) составлены на основе показателей отчёта об исполнении бюджета (ф.0503127), процент исполнения по доходам составил –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98,83</w:t>
      </w:r>
      <w:r>
        <w:rPr>
          <w:rFonts w:ascii="Times New Roman" w:hAnsi="Times New Roman"/>
          <w:sz w:val="24"/>
          <w:szCs w:val="24"/>
          <w:highlight w:val="none"/>
        </w:rPr>
        <w:t xml:space="preserve">%, по расходам -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78,09</w:t>
      </w:r>
      <w:r>
        <w:rPr>
          <w:rFonts w:ascii="Times New Roman" w:hAnsi="Times New Roman"/>
          <w:sz w:val="24"/>
          <w:szCs w:val="24"/>
          <w:highlight w:val="none"/>
        </w:rPr>
        <w:t xml:space="preserve">%. 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об исполнении мероприятий в рамках целевых программ (ф.0503166)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представлены, так как имеют нулевые значения</w:t>
      </w:r>
      <w:r>
        <w:rPr>
          <w:rFonts w:ascii="Times New Roman" w:hAnsi="Times New Roman"/>
          <w:sz w:val="24"/>
          <w:szCs w:val="24"/>
          <w:highlight w:val="none"/>
        </w:rPr>
        <w:t>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целевых иностранных кредитах (ф.0503167)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представлены, так как имеют нулевые значения.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Анализ отчёта об исполнении бюджета субъектом бюджетной отчётности (Таблица №13)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представлен ГРБС в соответствие с п.159.6 Инструкции №191н. Содержит аналитическую информацию об исполнении бюджета в соответствии с показателями и причинами отклонений неисполненных назначений.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val="ru-RU"/>
        </w:rPr>
        <w:t>Данные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 соответствуют показателям в графе 9 по соответствующим строкам раздела 1 "Доходы" ф.0503127.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Замечаний не выявлено.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Раздел 4 «Анализ показателей бухгалтерской отчётности субъекта бюджетной отчётности»:</w:t>
      </w: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В соответствии с п.166 Инструкции №191н Сведения о движении нефинансовых активов (ф.0503168) содержит обобщённую информацию за 2023 год о движении нефинансовых активов.</w:t>
      </w: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Стоимость нефинансовых активов по состоянию на 01.01.2023г. и 01.01.2024 г. в разрезе счетов бюджетного учёта составила: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0.101.00 «Основные средства»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62799870,26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63276618,10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что соответствует данным стр.010 Баланса (ф.0503130);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0.102.00 «Нематериальные активы» 0,00 руб. и 0,00 руб., что соответствует данным стр.040 Баланса (ф.0503130);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0.103.00 «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епроизводственные активы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465715380,09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492139067,63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что соответствует данным стр.070 Баланса (ф.0503130);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>В нарушение ч.1 ст.13 ФЗ №402-ФЗ, п.7. п.166 Инструкции №191н. допущено  нарушение правил ведения бухгалтерского учёта, выразившееся в искажении суммы показателей отчёта ф.0513168 «Сведения о движении нефинансовых активов», а именно: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 xml:space="preserve">- стр.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150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 xml:space="preserve"> «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3.1. Непроизводственные активы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>» на сумму 137176846,97 руб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.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 xml:space="preserve">- стр.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153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 xml:space="preserve"> «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Прочие непроизводственные активы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highlight w:val="none"/>
        </w:rPr>
        <w:t>» на сумму 137176846,97 руб.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0.104.00 «Амортизация»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36064734,56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39409786,48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что соответствует данным стр.021 Баланса (ф.0503130);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0.105.00 «Материальные запасы»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32053379,35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7448801,72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что соответствует данным стр.080 Баланса (ф.0503130);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0.111.60 «Права пользования нематериальными активами»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45800,00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45800,00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руб.,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соответствует данным стр.100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Показатели Отчёта (ф.0503168) в графе 4 «Наличие на начало года» и графе 11 «Наличие на конец года» соответствуют данным Баланса (ф.0503130).</w:t>
      </w: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соответствии с п.167 Инструкции №191н </w:t>
      </w:r>
      <w:r>
        <w:rPr>
          <w:rFonts w:ascii="Times New Roman" w:hAnsi="Times New Roman"/>
          <w:sz w:val="24"/>
          <w:szCs w:val="24"/>
          <w:highlight w:val="none"/>
        </w:rPr>
        <w:t>Сведения по дебиторской и кредиторской задолженности (ф.0503169) содержит обобщённые за отчётный период данные о состоянии расчётов по дебиторской и кредиторской задолженности субъекта бюджетной отчётности в разрезе видов расчётов.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Дебиторская задолженность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>доходам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 01.01.2024г. (сч.0.205.00, 0.209.00) составила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1109084,71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соответствуют данным стр.250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Дебиторская задолженность по 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>выплатам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 01.01.2024г. (0.206.00, 0.208.00, 0.303.00) составила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202506,95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соответствуют данным стр.260 Баланса (ф.0503130).</w:t>
      </w: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Сведения о просроченной дебиторской задолженности отсутствуют.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Кредиторская задолженность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выплатам на 01.01.2024 г. (сч.0.302.00, 0.208.00, 0.304.02, 0.304.03) составила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4297,61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рубль и соответствуют данным стр.410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Кредиторская задолженность по доходам на 01.04.2024 г. </w:t>
      </w:r>
      <w:r>
        <w:rPr>
          <w:rFonts w:ascii="Times New Roman" w:hAnsi="Times New Roman"/>
          <w:sz w:val="24"/>
          <w:szCs w:val="24"/>
          <w:highlight w:val="none"/>
        </w:rPr>
        <w:t xml:space="preserve">(0.205.00, 0.209.00) составила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3532,37</w:t>
      </w:r>
      <w:r>
        <w:rPr>
          <w:rFonts w:ascii="Times New Roman" w:hAnsi="Times New Roman"/>
          <w:sz w:val="24"/>
          <w:szCs w:val="24"/>
          <w:highlight w:val="none"/>
        </w:rPr>
        <w:t xml:space="preserve"> рублей и соответствуют данным стр.470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Доходы будущих периодов сч.1.401.40 -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843467,66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рубль и соответствуют данным стр.510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Резервы предстоящих расходов сч.1.401.60 -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1434649,31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и соответствуют данным стр.520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Сведения о просроченной кредиторской задолженности отсутствуют.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(ф.0503171) - </w:t>
      </w:r>
      <w:r>
        <w:rPr>
          <w:rFonts w:ascii="Times New Roman" w:hAnsi="Times New Roman" w:cs="Times New Roman"/>
          <w:sz w:val="24"/>
          <w:szCs w:val="24"/>
          <w:highlight w:val="none"/>
        </w:rPr>
        <w:t>отражен</w:t>
      </w:r>
      <w:r>
        <w:rPr>
          <w:rFonts w:ascii="Times New Roman" w:hAnsi="Times New Roman" w:cs="Times New Roman"/>
          <w:sz w:val="24"/>
          <w:szCs w:val="24"/>
        </w:rPr>
        <w:t>ы данные о финансовых вложениях в следующие учреждения: МУП ЖКХ «УНИВЕРСАЛ», МУП ЖКХ «Ахтубинские водопроводы» МО «Ахтубинский район».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ф. 0503160 в Ахтубинском районе действуют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унитарных предприятий</w:t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МУП ЖКХ «УНИВЕРСАЛ»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- в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 xml:space="preserve"> отношении ЮЛ введено наблюдение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МУП ЖКХ «Ахтубинские водопроводы» МО «Ахтубинский район»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- в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 xml:space="preserve"> отношении ЮЛ открыто конкурсное производство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МУП «Типография»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- действующее предприятие;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МУП «Дирекция ЖКХ» МО «Ахтубинский район»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- действующее предприятие.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Уставный фонд МУП «Типография», МУП «Дирекция ЖКХ» МО «Ахтубинский район» не сформирован, что не соответствует требованиям п.3 ст.12, ст.13 Федерального закона от 14.11.2002 N 161-ФЗ  "О государственных и муниципальных унитарных предприятиях". Указанное нарушение выявлялось контрольно-счетной палатой при проведении внешней проверки за 2020, 2021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, 2022 год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государственном (муниципальном) долге, предоставленных бюджетных кредитах (ф. 0503172)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представлены, так как имеют нулевые значения.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>Сведения об изменении остатков валюты баланса (ф.0503173)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- в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</w:t>
      </w:r>
      <w:r>
        <w:rPr>
          <w:rFonts w:ascii="Times New Roman" w:hAnsi="Times New Roman" w:cs="Times New Roman"/>
          <w:sz w:val="24"/>
          <w:szCs w:val="24"/>
        </w:rPr>
        <w:t>ветствии с п.170 Инструкции №191н</w:t>
      </w:r>
      <w:r>
        <w:rPr>
          <w:rFonts w:ascii="Times New Roman" w:hAnsi="Times New Roman"/>
          <w:sz w:val="24"/>
          <w:szCs w:val="24"/>
        </w:rPr>
        <w:t xml:space="preserve"> содержат обобщённые за 2023 год данные об изменении показателей на начало отчётного периода вступительного баланса ГРБС и баланса исполнения бюджета. Внесены изменения по основным средствам стр.010 (</w:t>
      </w:r>
      <w:r>
        <w:rPr>
          <w:rFonts w:hint="default" w:ascii="Times New Roman" w:hAnsi="Times New Roman"/>
          <w:sz w:val="24"/>
          <w:szCs w:val="24"/>
          <w:lang w:val="ru-RU"/>
        </w:rPr>
        <w:t>4322519,60</w:t>
      </w:r>
      <w:r>
        <w:rPr>
          <w:rFonts w:ascii="Times New Roman" w:hAnsi="Times New Roman"/>
          <w:sz w:val="24"/>
          <w:szCs w:val="24"/>
        </w:rPr>
        <w:t xml:space="preserve"> руб. ), непроизводственным активам стр.070 (</w:t>
      </w:r>
      <w:r>
        <w:rPr>
          <w:rFonts w:hint="default" w:ascii="Times New Roman" w:hAnsi="Times New Roman"/>
          <w:sz w:val="24"/>
          <w:szCs w:val="24"/>
          <w:lang w:val="ru-RU"/>
        </w:rPr>
        <w:t>35062744,04</w:t>
      </w:r>
      <w:r>
        <w:rPr>
          <w:rFonts w:ascii="Times New Roman" w:hAnsi="Times New Roman"/>
          <w:sz w:val="24"/>
          <w:szCs w:val="24"/>
        </w:rPr>
        <w:t xml:space="preserve"> руб. ), итого по разделу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hint="default" w:ascii="Times New Roman" w:hAnsi="Times New Roman"/>
          <w:sz w:val="24"/>
          <w:szCs w:val="24"/>
          <w:lang w:val="ru-RU"/>
        </w:rPr>
        <w:t>35062744,04</w:t>
      </w:r>
      <w:r>
        <w:rPr>
          <w:rFonts w:ascii="Times New Roman" w:hAnsi="Times New Roman"/>
          <w:sz w:val="24"/>
          <w:szCs w:val="24"/>
        </w:rPr>
        <w:t xml:space="preserve"> руб. ), дебиторской задолженности стр. 250 (</w:t>
      </w:r>
      <w:r>
        <w:rPr>
          <w:rFonts w:hint="default" w:ascii="Times New Roman" w:hAnsi="Times New Roman"/>
          <w:sz w:val="24"/>
          <w:szCs w:val="24"/>
          <w:lang w:val="ru-RU"/>
        </w:rPr>
        <w:t>-433813673,37</w:t>
      </w:r>
      <w:r>
        <w:rPr>
          <w:rFonts w:ascii="Times New Roman" w:hAnsi="Times New Roman"/>
          <w:sz w:val="24"/>
          <w:szCs w:val="24"/>
        </w:rPr>
        <w:t xml:space="preserve"> руб.), итого по разделу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hint="default" w:ascii="Times New Roman" w:hAnsi="Times New Roman"/>
          <w:sz w:val="24"/>
          <w:szCs w:val="24"/>
          <w:lang w:val="ru-RU"/>
        </w:rPr>
        <w:t>-433813673,37</w:t>
      </w:r>
      <w:r>
        <w:rPr>
          <w:rFonts w:ascii="Times New Roman" w:hAnsi="Times New Roman"/>
          <w:sz w:val="24"/>
          <w:szCs w:val="24"/>
        </w:rPr>
        <w:t xml:space="preserve"> руб.), Балансу стр.350 и 700 (</w:t>
      </w:r>
      <w:r>
        <w:rPr>
          <w:rFonts w:hint="default" w:ascii="Times New Roman" w:hAnsi="Times New Roman"/>
          <w:sz w:val="24"/>
          <w:szCs w:val="24"/>
          <w:lang w:val="ru-RU"/>
        </w:rPr>
        <w:t>-398750929,33</w:t>
      </w:r>
      <w:r>
        <w:rPr>
          <w:rFonts w:ascii="Times New Roman" w:hAnsi="Times New Roman"/>
          <w:sz w:val="24"/>
          <w:szCs w:val="24"/>
        </w:rPr>
        <w:t xml:space="preserve"> руб. ),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кредиторской задолженности по доходам (-38999,32 руб.), доходам будущих периодов (-427297505,76 руб.), </w:t>
      </w:r>
      <w:r>
        <w:rPr>
          <w:rFonts w:ascii="Times New Roman" w:hAnsi="Times New Roman"/>
          <w:sz w:val="24"/>
          <w:szCs w:val="24"/>
        </w:rPr>
        <w:t xml:space="preserve">итого по разделу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(-427336505,08 руб.),</w:t>
      </w:r>
      <w:r>
        <w:rPr>
          <w:rFonts w:ascii="Times New Roman" w:hAnsi="Times New Roman"/>
          <w:sz w:val="24"/>
          <w:szCs w:val="24"/>
        </w:rPr>
        <w:t xml:space="preserve"> финансовому результату стр.560 (</w:t>
      </w:r>
      <w:r>
        <w:rPr>
          <w:rFonts w:hint="default" w:ascii="Times New Roman" w:hAnsi="Times New Roman"/>
          <w:sz w:val="24"/>
          <w:szCs w:val="24"/>
          <w:lang w:val="ru-RU"/>
        </w:rPr>
        <w:t>28585575,75</w:t>
      </w:r>
      <w:r>
        <w:rPr>
          <w:rFonts w:ascii="Times New Roman" w:hAnsi="Times New Roman"/>
          <w:sz w:val="24"/>
          <w:szCs w:val="24"/>
        </w:rPr>
        <w:t xml:space="preserve"> руб. ), финансовому результату экономического субъекта стр.570 (</w:t>
      </w:r>
      <w:r>
        <w:rPr>
          <w:rFonts w:hint="default" w:ascii="Times New Roman" w:hAnsi="Times New Roman"/>
          <w:sz w:val="24"/>
          <w:szCs w:val="24"/>
          <w:lang w:val="ru-RU"/>
        </w:rPr>
        <w:t>28585575,75</w:t>
      </w:r>
      <w:r>
        <w:rPr>
          <w:rFonts w:ascii="Times New Roman" w:hAnsi="Times New Roman"/>
          <w:sz w:val="24"/>
          <w:szCs w:val="24"/>
        </w:rPr>
        <w:t xml:space="preserve"> руб. ). В ф.0503173 не содержатся сведения об изменениях на забалансовых счетах.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Контрольно-счетная палата рекомендует усилить контроль за выполнением требований по заполнению форм бюджетной отчётности, установленных Инструкцией №191н, при составлении годовой бюджетной отчётности.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- в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соответствии с п.170.1 Инструкции №191н к пояснительной записке представлена ф. 0503174 и содержит обобщённые за отчётный период аналитические данные о начислениях и поступлениях в соответствующий бюджет доходов от перечисления части прибыли, остающейся в распоряжении после уплаты налогов и иных обязательных платежей (дивидендов) государственными (муниципальными) унитарными предприятиями. Доходы, подлежащие перечислению в бюджет составили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101308,00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рублей (МУП «Типография»)</w:t>
      </w:r>
      <w:r>
        <w:rPr>
          <w:rFonts w:ascii="Times New Roman" w:hAnsi="Times New Roman" w:eastAsia="Times New Roman"/>
          <w:sz w:val="24"/>
          <w:szCs w:val="24"/>
          <w:highlight w:val="none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Сведения о принятых и неисполненных обязательствах получателя бюджетных средств (ф.0503175)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-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соответствии с п.170.2 Инструкции №191н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содержат аналитические данные о: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- неисполненных бюджетных обязательствах (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2082159,80 </w:t>
      </w:r>
      <w:r>
        <w:rPr>
          <w:rFonts w:ascii="Times New Roman" w:hAnsi="Times New Roman" w:cs="Times New Roman"/>
          <w:sz w:val="24"/>
          <w:szCs w:val="24"/>
          <w:highlight w:val="none"/>
        </w:rPr>
        <w:t>руб.), которые соответствуют показателям</w:t>
      </w:r>
      <w:r>
        <w:rPr>
          <w:rFonts w:ascii="Times New Roman" w:hAnsi="Times New Roman"/>
          <w:sz w:val="24"/>
          <w:szCs w:val="24"/>
          <w:highlight w:val="none"/>
        </w:rPr>
        <w:t xml:space="preserve"> графы 11 (ф. 0503128);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- неисполненных денежных обязательствах (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4297,61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которые соответствуют показателям</w:t>
      </w:r>
      <w:r>
        <w:rPr>
          <w:rFonts w:ascii="Times New Roman" w:hAnsi="Times New Roman"/>
          <w:sz w:val="24"/>
          <w:szCs w:val="24"/>
          <w:highlight w:val="none"/>
        </w:rPr>
        <w:t xml:space="preserve"> графы 1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/>
          <w:sz w:val="24"/>
          <w:szCs w:val="24"/>
          <w:highlight w:val="none"/>
        </w:rPr>
        <w:t xml:space="preserve"> (ф. 0503128);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Сведения об остатках денежных средств на счетах получателя бюджетных средств (ф.0503178)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-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соответствии с п.173 Инструкции №191н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val="ru-RU"/>
        </w:rPr>
        <w:t>содержат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 информацию </w:t>
      </w:r>
      <w:r>
        <w:rPr>
          <w:rFonts w:ascii="Times New Roman" w:hAnsi="Times New Roman"/>
          <w:sz w:val="24"/>
          <w:szCs w:val="24"/>
          <w:highlight w:val="none"/>
        </w:rPr>
        <w:t>об остатках денежных средств на счетах получателя бюджетных средств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Показатели, отражённые в ф. 0503178, подтверждены регистрами бюджетного учёта получателя бюджетных средств (сч. 201.11.) –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555099,93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рублей.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соответствии с п.173.1 Инструкции №191н к пояснительной записке представлена ф.0503190 «Сведения о вложениях в объекты недвижимого имущества, объектах незавершённого строительства» и содержит сведения о вложениях в объекты недвижимого имущества, объектах незавершённого строительства. Общая сумма вложений в объекты недвижимого имущества за 2023 год составила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2977576,26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 </w:t>
      </w:r>
      <w:r>
        <w:rPr>
          <w:rFonts w:ascii="Times New Roman" w:hAnsi="Times New Roman"/>
          <w:sz w:val="24"/>
          <w:szCs w:val="24"/>
          <w:highlight w:val="none"/>
        </w:rPr>
        <w:t>Показатель строки «Итого» графы 20 Сведений (ф. 0503190) соответствует данным строки 071 графы 11 раздела 1 «Нефинансовые активы» (ф. 0503168).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Анализ показателей отчётности субъекта бюджетной отчётности (Таблица №14)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представлен ГРБС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согласно п.159.7 Инструкции №191н. Содержит аналитическую информацию, характеризующую показатели бюджетной отчётности субъекта бюджетной отчётности, в том числе информацию о некассовых операциях, отражённых в Отчёте (ф.0503127).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Причины увеличения просроченной задолженности (Таблица №15)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-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име</w:t>
      </w:r>
      <w:r>
        <w:rPr>
          <w:rFonts w:ascii="Times New Roman" w:hAnsi="Times New Roman" w:eastAsia="Times New Roman"/>
          <w:sz w:val="24"/>
          <w:szCs w:val="24"/>
          <w:highlight w:val="none"/>
          <w:lang w:val="ru-RU"/>
        </w:rPr>
        <w:t>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>т нулевые значения.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Раздел 5 «Прочие вопросы деятельности субъекта бюджетной отчётности» содержит: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об основных положениях учётной политики (Таблица №4) -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предоставляется ГРБС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в соответствии с пунктом 156 Инструкции №191н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 проведении инвентаризаций (Таблица №6)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име</w:t>
      </w:r>
      <w:r>
        <w:rPr>
          <w:rFonts w:ascii="Times New Roman" w:hAnsi="Times New Roman" w:eastAsia="Times New Roman"/>
          <w:sz w:val="24"/>
          <w:szCs w:val="24"/>
          <w:highlight w:val="none"/>
          <w:lang w:val="ru-RU"/>
        </w:rPr>
        <w:t>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>т нулевые значения.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Сведения об исполнении судебных решений по денежным обязательствам бюджета (ф.0503296) - в соответствии с п.174 Инструкции №191н по строке 010 Сведений (ф.0503296) отражаются суммы по судебным решениям судов судебной системы Российской Федерации. В течение 2023 года было принято и исполнено по исполнительным документам денежных обязательств на общую сумму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4555650,84 руб.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 xml:space="preserve">Прочие вопросы деятельности субъекта бюджетной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отчётности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highlight w:val="none"/>
        </w:rPr>
        <w:t xml:space="preserve">Таблица №16) </w:t>
      </w:r>
      <w:r>
        <w:rPr>
          <w:rFonts w:ascii="Times New Roman" w:hAnsi="Times New Roman" w:eastAsia="Times New Roman"/>
          <w:sz w:val="24"/>
          <w:szCs w:val="24"/>
          <w:highlight w:val="none"/>
        </w:rPr>
        <w:t>не предоставляются ГРБС согласно п.159.9 Инструкции №191н.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Перечень форм отчётности, не включённых в состав бюджетной отчётности за отчётный период согласно абз.1 п.8 Инструкции №191н, ввиду отсутствия числовых значений показателей: ф.0603166, ф.0503167, ф.0503172, ф.0503193, таблица №1, №3, №6, №15.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Вывод.</w:t>
      </w:r>
    </w:p>
    <w:p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Оценка полноты и достоверности бюджетной отчётности во всех существенных отношениях проводилась на выборочной основе. Бюджетная отчётность за 2023 год представлена в срок, достоверна, соответствует структуре и бюджетной классификации. </w:t>
      </w:r>
    </w:p>
    <w:p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Нарушений и недостатков, существенно оказавших влияние на полноту отражения показателей отчётности и на достоверность показателей представленной отчётности за 2023 год, не выявлено.</w:t>
      </w:r>
    </w:p>
    <w:p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>В нарушение ст.34 БК РФ допущено неэффективное использование бюджетных средств, произведены расходы по уплате штрафов и пени на общую сумму 50000,00 рублей.</w:t>
      </w:r>
    </w:p>
    <w:p>
      <w:pPr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hint="default" w:ascii="Times New Roman" w:hAnsi="Times New Roman"/>
          <w:sz w:val="24"/>
          <w:szCs w:val="24"/>
          <w:highlight w:val="non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 xml:space="preserve">В нарушение требований Инструкции №157н, ФЗ №402-ФЗ, п.3.44, 3.48 Методических указаний от 13.06.1995 №49, п.7 Инструкции №191н перед составлением годовой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отчётности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инвентаризация финансовых активов и обязательств проведена не в полном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объёме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(акты сверок с контрагентами не представлены), в связи с чем, подтвердить достоверность данных по счетам бухгалтерского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учёта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и баланса не представляется возможным.</w:t>
      </w:r>
    </w:p>
    <w:p>
      <w:pPr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нарушение ст.13 ФЗ №402-ФЗ, п.7 Инструкции №191н, п.38 Инструкции №157н и допущено нарушение требований к бюджетному (бухгалтерскому) учёту, повлёкшее представление бюджетной отчётности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ф. 0503130 «БАЛАНС»</w:t>
      </w:r>
      <w:r>
        <w:rPr>
          <w:rFonts w:hint="default" w:ascii="Times New Roman" w:hAnsi="Times New Roman"/>
          <w:sz w:val="24"/>
          <w:szCs w:val="24"/>
          <w:highlight w:val="none"/>
        </w:rPr>
        <w:t>, содержащей искажение показателей бюджетной отчётности по состоянию на 01.01.202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на общую сумму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137176846,97</w:t>
      </w:r>
      <w:r>
        <w:rPr>
          <w:rFonts w:hint="default" w:ascii="Times New Roman" w:hAnsi="Times New Roman"/>
          <w:sz w:val="24"/>
          <w:szCs w:val="24"/>
          <w:highlight w:val="none"/>
        </w:rPr>
        <w:t xml:space="preserve"> руб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. </w:t>
      </w:r>
    </w:p>
    <w:p>
      <w:pPr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В нарушение ч.1 ст.13 ФЗ №402-ФЗ, п.7. п.166 Инструкции №191н допущено нарушение правил ведения бухгалтерского учёта, выразившееся в искажении суммы показателей отчёта ф.0513168 «Сведения о движении нефинансовых активов», а именно: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- стр. 150 «3.1. Непроизводственные активы» на сумму 137176846,97 руб.;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- стр. 153 «Прочие непроизводственные активы» на сумму 137176846,97 руб.</w:t>
      </w:r>
    </w:p>
    <w:p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Уставный фонд МУП «Типография», МУП «Дирекция ЖКХ» МО «Ахтубинский район» не сформирован, что не соответствует требованиям п.3 ст.12, ст.13 Федерального закона от 14.11.2002 N 161-ФЗ "О государственных и муниципальных унитарных предприятиях". Указанное нарушение выявлялось контрольно-счетной палатой при проведении внешней проверки за 2020, 2021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, 2022 год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течение 2023 года было принято и исполнено по исполнительным документам денежных обязательств на общую сумму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4555650,84 руб. </w:t>
      </w:r>
    </w:p>
    <w:p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Рекомендации:</w:t>
      </w:r>
    </w:p>
    <w:p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Усилить контроль за ежегодной переоценкой кадастровой стоимости земельных участков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и отражением операций на счетах бухгалтерского учёта.</w:t>
      </w:r>
    </w:p>
    <w:p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Усилить контроль за выполнением требований по заполнению форм бюджетной отчётности, установленных Инструкцией №191н, при составлении годовой бюджетной отчётности.</w:t>
      </w:r>
    </w:p>
    <w:p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целях корректного раскрытия в бюджетной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бухгалтерской отчетности информации о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расчётах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по налогам (сборам) регулярно осуществлять сверку данных с налоговыми органами с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учётом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рекомендаций,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доведённых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Минфином России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HYPERLINK https://login.consultant.ru/link/?req=doc&amp;base=LAW&amp;n=451640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письмом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от 30 июня 2023 г. N 02-07-07/60961.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Председатель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КСП МО «Ахтубинский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Журавлева Ю.Ю.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4</w:t>
    </w:r>
    <w:r>
      <w:rPr>
        <w:rFonts w:asciiTheme="majorHAnsi" w:hAnsiTheme="majorHAnsi" w:eastAsiaTheme="majorEastAsia" w:cstheme="majorBidi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2FFFB"/>
    <w:multiLevelType w:val="singleLevel"/>
    <w:tmpl w:val="3332FFF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F11AD6C"/>
    <w:multiLevelType w:val="singleLevel"/>
    <w:tmpl w:val="3F11AD6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abstractNum w:abstractNumId="2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3">
    <w:nsid w:val="5E3948EE"/>
    <w:multiLevelType w:val="singleLevel"/>
    <w:tmpl w:val="5E3948EE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39"/>
    <w:rsid w:val="000054EF"/>
    <w:rsid w:val="000059A2"/>
    <w:rsid w:val="000116D0"/>
    <w:rsid w:val="00014136"/>
    <w:rsid w:val="000142F5"/>
    <w:rsid w:val="00014FD6"/>
    <w:rsid w:val="00020CB0"/>
    <w:rsid w:val="00020FF9"/>
    <w:rsid w:val="00024D20"/>
    <w:rsid w:val="00025F3A"/>
    <w:rsid w:val="000321D0"/>
    <w:rsid w:val="00033E40"/>
    <w:rsid w:val="00037C01"/>
    <w:rsid w:val="000415A4"/>
    <w:rsid w:val="0005062E"/>
    <w:rsid w:val="0005072A"/>
    <w:rsid w:val="00052682"/>
    <w:rsid w:val="00054738"/>
    <w:rsid w:val="00062F8D"/>
    <w:rsid w:val="00067F00"/>
    <w:rsid w:val="00070613"/>
    <w:rsid w:val="0007064A"/>
    <w:rsid w:val="00072288"/>
    <w:rsid w:val="00075D18"/>
    <w:rsid w:val="00082627"/>
    <w:rsid w:val="000906F8"/>
    <w:rsid w:val="0009320E"/>
    <w:rsid w:val="000934D1"/>
    <w:rsid w:val="00094F87"/>
    <w:rsid w:val="000A4CA4"/>
    <w:rsid w:val="000A5F09"/>
    <w:rsid w:val="000B4D80"/>
    <w:rsid w:val="000B52B2"/>
    <w:rsid w:val="000B6852"/>
    <w:rsid w:val="000C0053"/>
    <w:rsid w:val="000C56AC"/>
    <w:rsid w:val="000D111D"/>
    <w:rsid w:val="000D1EC7"/>
    <w:rsid w:val="000D4062"/>
    <w:rsid w:val="000D69B2"/>
    <w:rsid w:val="000D786A"/>
    <w:rsid w:val="000E6906"/>
    <w:rsid w:val="000F1023"/>
    <w:rsid w:val="000F7EBD"/>
    <w:rsid w:val="001001A2"/>
    <w:rsid w:val="00100E52"/>
    <w:rsid w:val="00106231"/>
    <w:rsid w:val="0011015C"/>
    <w:rsid w:val="00112D6E"/>
    <w:rsid w:val="0011459F"/>
    <w:rsid w:val="00115244"/>
    <w:rsid w:val="0012038B"/>
    <w:rsid w:val="00122603"/>
    <w:rsid w:val="0012564A"/>
    <w:rsid w:val="001410B4"/>
    <w:rsid w:val="00141494"/>
    <w:rsid w:val="00147A26"/>
    <w:rsid w:val="001505A7"/>
    <w:rsid w:val="001510EC"/>
    <w:rsid w:val="001537E7"/>
    <w:rsid w:val="001566B9"/>
    <w:rsid w:val="001620E5"/>
    <w:rsid w:val="001624A8"/>
    <w:rsid w:val="00165A07"/>
    <w:rsid w:val="00167870"/>
    <w:rsid w:val="0017202F"/>
    <w:rsid w:val="00172A27"/>
    <w:rsid w:val="001779F2"/>
    <w:rsid w:val="00180229"/>
    <w:rsid w:val="00184171"/>
    <w:rsid w:val="00185F28"/>
    <w:rsid w:val="001868B6"/>
    <w:rsid w:val="0019368A"/>
    <w:rsid w:val="001A2D9E"/>
    <w:rsid w:val="001A3703"/>
    <w:rsid w:val="001A38A4"/>
    <w:rsid w:val="001A731D"/>
    <w:rsid w:val="001A7AE5"/>
    <w:rsid w:val="001B0400"/>
    <w:rsid w:val="001B3612"/>
    <w:rsid w:val="001B48BD"/>
    <w:rsid w:val="001B7FC3"/>
    <w:rsid w:val="001C3C1C"/>
    <w:rsid w:val="001C48B4"/>
    <w:rsid w:val="001C7F35"/>
    <w:rsid w:val="001D0775"/>
    <w:rsid w:val="001D0F5C"/>
    <w:rsid w:val="001D40B5"/>
    <w:rsid w:val="001D4FB6"/>
    <w:rsid w:val="001D6111"/>
    <w:rsid w:val="001E1E0A"/>
    <w:rsid w:val="001E76B5"/>
    <w:rsid w:val="001E7933"/>
    <w:rsid w:val="001F5DFD"/>
    <w:rsid w:val="001F6149"/>
    <w:rsid w:val="00203469"/>
    <w:rsid w:val="00205EDC"/>
    <w:rsid w:val="00210E4A"/>
    <w:rsid w:val="002120DE"/>
    <w:rsid w:val="00216A52"/>
    <w:rsid w:val="0022098C"/>
    <w:rsid w:val="00224992"/>
    <w:rsid w:val="00224AFE"/>
    <w:rsid w:val="002304B9"/>
    <w:rsid w:val="002307F6"/>
    <w:rsid w:val="002313D8"/>
    <w:rsid w:val="0023161E"/>
    <w:rsid w:val="00236C1D"/>
    <w:rsid w:val="00240B0D"/>
    <w:rsid w:val="0024170A"/>
    <w:rsid w:val="00241C20"/>
    <w:rsid w:val="00246CCE"/>
    <w:rsid w:val="00247B6E"/>
    <w:rsid w:val="00247EE1"/>
    <w:rsid w:val="002516D1"/>
    <w:rsid w:val="0025296E"/>
    <w:rsid w:val="002534C4"/>
    <w:rsid w:val="002538A5"/>
    <w:rsid w:val="002538AB"/>
    <w:rsid w:val="00253E2B"/>
    <w:rsid w:val="00257DB6"/>
    <w:rsid w:val="002631A4"/>
    <w:rsid w:val="00264B14"/>
    <w:rsid w:val="00265C9A"/>
    <w:rsid w:val="00266C79"/>
    <w:rsid w:val="002670DF"/>
    <w:rsid w:val="00271123"/>
    <w:rsid w:val="00274153"/>
    <w:rsid w:val="00274DA3"/>
    <w:rsid w:val="00282921"/>
    <w:rsid w:val="00285210"/>
    <w:rsid w:val="00293014"/>
    <w:rsid w:val="0029324A"/>
    <w:rsid w:val="00293BFC"/>
    <w:rsid w:val="0029493D"/>
    <w:rsid w:val="00295136"/>
    <w:rsid w:val="00295DCA"/>
    <w:rsid w:val="002A62E6"/>
    <w:rsid w:val="002B1124"/>
    <w:rsid w:val="002B36E5"/>
    <w:rsid w:val="002B443B"/>
    <w:rsid w:val="002B4A5F"/>
    <w:rsid w:val="002C03DC"/>
    <w:rsid w:val="002C40BD"/>
    <w:rsid w:val="002C5F39"/>
    <w:rsid w:val="002C7A35"/>
    <w:rsid w:val="002E5F24"/>
    <w:rsid w:val="002F04BE"/>
    <w:rsid w:val="002F3081"/>
    <w:rsid w:val="002F370A"/>
    <w:rsid w:val="002F7593"/>
    <w:rsid w:val="00300CA5"/>
    <w:rsid w:val="003044BE"/>
    <w:rsid w:val="00304535"/>
    <w:rsid w:val="00321957"/>
    <w:rsid w:val="0032380F"/>
    <w:rsid w:val="00323D6E"/>
    <w:rsid w:val="0032733B"/>
    <w:rsid w:val="00330C60"/>
    <w:rsid w:val="00336843"/>
    <w:rsid w:val="003374AD"/>
    <w:rsid w:val="00337B01"/>
    <w:rsid w:val="00341600"/>
    <w:rsid w:val="00344F9E"/>
    <w:rsid w:val="00346883"/>
    <w:rsid w:val="00353679"/>
    <w:rsid w:val="00354C3F"/>
    <w:rsid w:val="00363DE3"/>
    <w:rsid w:val="0037759E"/>
    <w:rsid w:val="00380756"/>
    <w:rsid w:val="00381051"/>
    <w:rsid w:val="003813C3"/>
    <w:rsid w:val="00383BB5"/>
    <w:rsid w:val="00384B6C"/>
    <w:rsid w:val="00387627"/>
    <w:rsid w:val="00390834"/>
    <w:rsid w:val="0039451C"/>
    <w:rsid w:val="00397652"/>
    <w:rsid w:val="003A0323"/>
    <w:rsid w:val="003A56DC"/>
    <w:rsid w:val="003B662D"/>
    <w:rsid w:val="003B6982"/>
    <w:rsid w:val="003B6B27"/>
    <w:rsid w:val="003C230A"/>
    <w:rsid w:val="003D78F3"/>
    <w:rsid w:val="003E2A84"/>
    <w:rsid w:val="003E3728"/>
    <w:rsid w:val="003E4A34"/>
    <w:rsid w:val="003F3F90"/>
    <w:rsid w:val="003F665B"/>
    <w:rsid w:val="00400199"/>
    <w:rsid w:val="00402B76"/>
    <w:rsid w:val="0040570E"/>
    <w:rsid w:val="0040731E"/>
    <w:rsid w:val="004101B7"/>
    <w:rsid w:val="00410912"/>
    <w:rsid w:val="00410BE9"/>
    <w:rsid w:val="00415D03"/>
    <w:rsid w:val="0041720A"/>
    <w:rsid w:val="00422F61"/>
    <w:rsid w:val="00424B06"/>
    <w:rsid w:val="00431141"/>
    <w:rsid w:val="004324DD"/>
    <w:rsid w:val="00432880"/>
    <w:rsid w:val="00433EF3"/>
    <w:rsid w:val="00434782"/>
    <w:rsid w:val="00436A16"/>
    <w:rsid w:val="00442CFF"/>
    <w:rsid w:val="00443B26"/>
    <w:rsid w:val="00443BF6"/>
    <w:rsid w:val="00444D58"/>
    <w:rsid w:val="004514F4"/>
    <w:rsid w:val="00457CE1"/>
    <w:rsid w:val="00462EEB"/>
    <w:rsid w:val="00480016"/>
    <w:rsid w:val="0048141D"/>
    <w:rsid w:val="00483031"/>
    <w:rsid w:val="00486CB4"/>
    <w:rsid w:val="004871C9"/>
    <w:rsid w:val="00487EE7"/>
    <w:rsid w:val="0049277A"/>
    <w:rsid w:val="00495F46"/>
    <w:rsid w:val="00495FF6"/>
    <w:rsid w:val="004A2B52"/>
    <w:rsid w:val="004A2E77"/>
    <w:rsid w:val="004A5403"/>
    <w:rsid w:val="004C20A3"/>
    <w:rsid w:val="004C2FD9"/>
    <w:rsid w:val="004D05A1"/>
    <w:rsid w:val="004D0EF4"/>
    <w:rsid w:val="004D531D"/>
    <w:rsid w:val="004D6705"/>
    <w:rsid w:val="004D6DC6"/>
    <w:rsid w:val="004D6FA7"/>
    <w:rsid w:val="004D7F62"/>
    <w:rsid w:val="004E2231"/>
    <w:rsid w:val="004E2FE3"/>
    <w:rsid w:val="004E3577"/>
    <w:rsid w:val="004E493A"/>
    <w:rsid w:val="004F2A0C"/>
    <w:rsid w:val="004F4BF5"/>
    <w:rsid w:val="00501BD1"/>
    <w:rsid w:val="00504068"/>
    <w:rsid w:val="00504D88"/>
    <w:rsid w:val="005065B5"/>
    <w:rsid w:val="00506B6F"/>
    <w:rsid w:val="00510739"/>
    <w:rsid w:val="0051120F"/>
    <w:rsid w:val="00511328"/>
    <w:rsid w:val="005141D8"/>
    <w:rsid w:val="00516400"/>
    <w:rsid w:val="005211F0"/>
    <w:rsid w:val="005324E7"/>
    <w:rsid w:val="00536299"/>
    <w:rsid w:val="00543F73"/>
    <w:rsid w:val="005503E8"/>
    <w:rsid w:val="005548B7"/>
    <w:rsid w:val="00555899"/>
    <w:rsid w:val="0055743E"/>
    <w:rsid w:val="0056264C"/>
    <w:rsid w:val="00565E40"/>
    <w:rsid w:val="005777EF"/>
    <w:rsid w:val="005812B1"/>
    <w:rsid w:val="00584F6B"/>
    <w:rsid w:val="00587FEF"/>
    <w:rsid w:val="005A1674"/>
    <w:rsid w:val="005A2430"/>
    <w:rsid w:val="005A2BD0"/>
    <w:rsid w:val="005B1502"/>
    <w:rsid w:val="005B298C"/>
    <w:rsid w:val="005B430B"/>
    <w:rsid w:val="005B7480"/>
    <w:rsid w:val="005C1C18"/>
    <w:rsid w:val="005C1C8C"/>
    <w:rsid w:val="005C3CE9"/>
    <w:rsid w:val="005C43A3"/>
    <w:rsid w:val="005C4F63"/>
    <w:rsid w:val="005C5916"/>
    <w:rsid w:val="005C745A"/>
    <w:rsid w:val="005D1D98"/>
    <w:rsid w:val="005D2E48"/>
    <w:rsid w:val="005D348E"/>
    <w:rsid w:val="005D3CEB"/>
    <w:rsid w:val="005D74F1"/>
    <w:rsid w:val="005E4A65"/>
    <w:rsid w:val="005E5342"/>
    <w:rsid w:val="005F4F03"/>
    <w:rsid w:val="005F518A"/>
    <w:rsid w:val="006007CE"/>
    <w:rsid w:val="00602217"/>
    <w:rsid w:val="00603D15"/>
    <w:rsid w:val="0060489A"/>
    <w:rsid w:val="006071E1"/>
    <w:rsid w:val="006075F2"/>
    <w:rsid w:val="006104F4"/>
    <w:rsid w:val="00611D88"/>
    <w:rsid w:val="00612EC4"/>
    <w:rsid w:val="006229B0"/>
    <w:rsid w:val="006270B9"/>
    <w:rsid w:val="006300BA"/>
    <w:rsid w:val="00631398"/>
    <w:rsid w:val="00634259"/>
    <w:rsid w:val="006403A8"/>
    <w:rsid w:val="00641170"/>
    <w:rsid w:val="006412FB"/>
    <w:rsid w:val="00650815"/>
    <w:rsid w:val="006519DF"/>
    <w:rsid w:val="00653409"/>
    <w:rsid w:val="0065374F"/>
    <w:rsid w:val="00653A7C"/>
    <w:rsid w:val="00654B5A"/>
    <w:rsid w:val="00657EEB"/>
    <w:rsid w:val="0066021D"/>
    <w:rsid w:val="00660ABF"/>
    <w:rsid w:val="00662580"/>
    <w:rsid w:val="00663182"/>
    <w:rsid w:val="00664B8A"/>
    <w:rsid w:val="006676BD"/>
    <w:rsid w:val="00670A64"/>
    <w:rsid w:val="00673410"/>
    <w:rsid w:val="00675C8D"/>
    <w:rsid w:val="00683868"/>
    <w:rsid w:val="00685AE8"/>
    <w:rsid w:val="00686BF3"/>
    <w:rsid w:val="0069097E"/>
    <w:rsid w:val="00692A72"/>
    <w:rsid w:val="00692DC6"/>
    <w:rsid w:val="00693BE8"/>
    <w:rsid w:val="00693EC4"/>
    <w:rsid w:val="00694123"/>
    <w:rsid w:val="006A011D"/>
    <w:rsid w:val="006A0A8A"/>
    <w:rsid w:val="006A2E9A"/>
    <w:rsid w:val="006A2EC2"/>
    <w:rsid w:val="006B1E44"/>
    <w:rsid w:val="006B3BB8"/>
    <w:rsid w:val="006B7E5B"/>
    <w:rsid w:val="006C5EF5"/>
    <w:rsid w:val="006C6435"/>
    <w:rsid w:val="006D19ED"/>
    <w:rsid w:val="006D24FF"/>
    <w:rsid w:val="006D32A0"/>
    <w:rsid w:val="006D4E7D"/>
    <w:rsid w:val="006D6910"/>
    <w:rsid w:val="006E18A5"/>
    <w:rsid w:val="006E6A22"/>
    <w:rsid w:val="006E6E5B"/>
    <w:rsid w:val="006E70A4"/>
    <w:rsid w:val="006F120F"/>
    <w:rsid w:val="006F1461"/>
    <w:rsid w:val="006F1907"/>
    <w:rsid w:val="006F4593"/>
    <w:rsid w:val="006F5117"/>
    <w:rsid w:val="006F7BF2"/>
    <w:rsid w:val="00702B22"/>
    <w:rsid w:val="00706852"/>
    <w:rsid w:val="00712605"/>
    <w:rsid w:val="0071529E"/>
    <w:rsid w:val="007167E6"/>
    <w:rsid w:val="00716842"/>
    <w:rsid w:val="007168BA"/>
    <w:rsid w:val="00717565"/>
    <w:rsid w:val="00724E79"/>
    <w:rsid w:val="0073157C"/>
    <w:rsid w:val="00733D86"/>
    <w:rsid w:val="00734375"/>
    <w:rsid w:val="00734DC3"/>
    <w:rsid w:val="00734DC6"/>
    <w:rsid w:val="007351F7"/>
    <w:rsid w:val="00736287"/>
    <w:rsid w:val="007400A0"/>
    <w:rsid w:val="00744C60"/>
    <w:rsid w:val="00747B5D"/>
    <w:rsid w:val="007606D4"/>
    <w:rsid w:val="00762AE6"/>
    <w:rsid w:val="007645D2"/>
    <w:rsid w:val="00765047"/>
    <w:rsid w:val="00765401"/>
    <w:rsid w:val="00766F74"/>
    <w:rsid w:val="00767B00"/>
    <w:rsid w:val="007727C2"/>
    <w:rsid w:val="00772EE1"/>
    <w:rsid w:val="00777E7B"/>
    <w:rsid w:val="007812B3"/>
    <w:rsid w:val="007815DB"/>
    <w:rsid w:val="00781897"/>
    <w:rsid w:val="00782CED"/>
    <w:rsid w:val="00795C89"/>
    <w:rsid w:val="00795DC2"/>
    <w:rsid w:val="00796851"/>
    <w:rsid w:val="0079692A"/>
    <w:rsid w:val="00796FE5"/>
    <w:rsid w:val="007A0EE6"/>
    <w:rsid w:val="007A2860"/>
    <w:rsid w:val="007A36A7"/>
    <w:rsid w:val="007A4CDE"/>
    <w:rsid w:val="007B17F4"/>
    <w:rsid w:val="007D1DE6"/>
    <w:rsid w:val="007D2C06"/>
    <w:rsid w:val="007D5AC0"/>
    <w:rsid w:val="007D5BBD"/>
    <w:rsid w:val="007D6AE9"/>
    <w:rsid w:val="007E02D6"/>
    <w:rsid w:val="007E6DC7"/>
    <w:rsid w:val="007F5CD0"/>
    <w:rsid w:val="007F6E86"/>
    <w:rsid w:val="0080067A"/>
    <w:rsid w:val="00800717"/>
    <w:rsid w:val="008016C9"/>
    <w:rsid w:val="00811748"/>
    <w:rsid w:val="00812E95"/>
    <w:rsid w:val="0082095D"/>
    <w:rsid w:val="00824663"/>
    <w:rsid w:val="0082602A"/>
    <w:rsid w:val="00830D62"/>
    <w:rsid w:val="008315F6"/>
    <w:rsid w:val="00835393"/>
    <w:rsid w:val="00837201"/>
    <w:rsid w:val="00840099"/>
    <w:rsid w:val="008418CD"/>
    <w:rsid w:val="00841EDB"/>
    <w:rsid w:val="0084288B"/>
    <w:rsid w:val="00855637"/>
    <w:rsid w:val="00856CF1"/>
    <w:rsid w:val="00862546"/>
    <w:rsid w:val="00862F66"/>
    <w:rsid w:val="00872DA7"/>
    <w:rsid w:val="008803E6"/>
    <w:rsid w:val="00880A18"/>
    <w:rsid w:val="00882F05"/>
    <w:rsid w:val="00883235"/>
    <w:rsid w:val="00886AB1"/>
    <w:rsid w:val="00886E32"/>
    <w:rsid w:val="00893692"/>
    <w:rsid w:val="008950A6"/>
    <w:rsid w:val="00897511"/>
    <w:rsid w:val="008978D3"/>
    <w:rsid w:val="008A25C5"/>
    <w:rsid w:val="008A36B8"/>
    <w:rsid w:val="008A670F"/>
    <w:rsid w:val="008C438B"/>
    <w:rsid w:val="008C5632"/>
    <w:rsid w:val="008C5856"/>
    <w:rsid w:val="008C77F2"/>
    <w:rsid w:val="008D070F"/>
    <w:rsid w:val="008D0F61"/>
    <w:rsid w:val="008F0DE3"/>
    <w:rsid w:val="008F4209"/>
    <w:rsid w:val="008F5A11"/>
    <w:rsid w:val="008F62B8"/>
    <w:rsid w:val="0090210B"/>
    <w:rsid w:val="00903209"/>
    <w:rsid w:val="00903B17"/>
    <w:rsid w:val="00912C97"/>
    <w:rsid w:val="00915CF5"/>
    <w:rsid w:val="0092186F"/>
    <w:rsid w:val="00924889"/>
    <w:rsid w:val="0092633C"/>
    <w:rsid w:val="0093226A"/>
    <w:rsid w:val="009322A7"/>
    <w:rsid w:val="00933A63"/>
    <w:rsid w:val="00933BA9"/>
    <w:rsid w:val="009340AE"/>
    <w:rsid w:val="009349DF"/>
    <w:rsid w:val="00935A80"/>
    <w:rsid w:val="0094172E"/>
    <w:rsid w:val="00942AE8"/>
    <w:rsid w:val="00944EC2"/>
    <w:rsid w:val="00946F86"/>
    <w:rsid w:val="00947006"/>
    <w:rsid w:val="009509D9"/>
    <w:rsid w:val="00952B74"/>
    <w:rsid w:val="00957B48"/>
    <w:rsid w:val="00964B77"/>
    <w:rsid w:val="00966ED1"/>
    <w:rsid w:val="009739A2"/>
    <w:rsid w:val="00974748"/>
    <w:rsid w:val="00974929"/>
    <w:rsid w:val="00977F9E"/>
    <w:rsid w:val="00981DA8"/>
    <w:rsid w:val="009845D1"/>
    <w:rsid w:val="009870EF"/>
    <w:rsid w:val="009873AB"/>
    <w:rsid w:val="00996733"/>
    <w:rsid w:val="009A0C16"/>
    <w:rsid w:val="009A2834"/>
    <w:rsid w:val="009A4FDB"/>
    <w:rsid w:val="009B04A3"/>
    <w:rsid w:val="009B3B6E"/>
    <w:rsid w:val="009B6A4F"/>
    <w:rsid w:val="009C4882"/>
    <w:rsid w:val="009D200B"/>
    <w:rsid w:val="009D30FB"/>
    <w:rsid w:val="009D545C"/>
    <w:rsid w:val="009D611B"/>
    <w:rsid w:val="009E220D"/>
    <w:rsid w:val="009E6889"/>
    <w:rsid w:val="009E78A7"/>
    <w:rsid w:val="009F6C39"/>
    <w:rsid w:val="00A00360"/>
    <w:rsid w:val="00A021CB"/>
    <w:rsid w:val="00A029AC"/>
    <w:rsid w:val="00A037E4"/>
    <w:rsid w:val="00A05F04"/>
    <w:rsid w:val="00A1074D"/>
    <w:rsid w:val="00A11002"/>
    <w:rsid w:val="00A11FA7"/>
    <w:rsid w:val="00A12015"/>
    <w:rsid w:val="00A1607F"/>
    <w:rsid w:val="00A27CEA"/>
    <w:rsid w:val="00A30CE4"/>
    <w:rsid w:val="00A31634"/>
    <w:rsid w:val="00A32A82"/>
    <w:rsid w:val="00A3464B"/>
    <w:rsid w:val="00A362DB"/>
    <w:rsid w:val="00A36BEF"/>
    <w:rsid w:val="00A36E30"/>
    <w:rsid w:val="00A36EC2"/>
    <w:rsid w:val="00A36FFC"/>
    <w:rsid w:val="00A42E7F"/>
    <w:rsid w:val="00A53108"/>
    <w:rsid w:val="00A533D6"/>
    <w:rsid w:val="00A61898"/>
    <w:rsid w:val="00A63038"/>
    <w:rsid w:val="00A65FE6"/>
    <w:rsid w:val="00A6798B"/>
    <w:rsid w:val="00A72445"/>
    <w:rsid w:val="00A73FC1"/>
    <w:rsid w:val="00A91835"/>
    <w:rsid w:val="00A9484F"/>
    <w:rsid w:val="00AA33E9"/>
    <w:rsid w:val="00AA54C0"/>
    <w:rsid w:val="00AB30AE"/>
    <w:rsid w:val="00AB7FF3"/>
    <w:rsid w:val="00AC2D3B"/>
    <w:rsid w:val="00AC4A6B"/>
    <w:rsid w:val="00AC50CD"/>
    <w:rsid w:val="00AC5B6B"/>
    <w:rsid w:val="00AC5D41"/>
    <w:rsid w:val="00AC64FD"/>
    <w:rsid w:val="00AD056F"/>
    <w:rsid w:val="00AD50BD"/>
    <w:rsid w:val="00AD54D9"/>
    <w:rsid w:val="00AD5DEB"/>
    <w:rsid w:val="00AD6341"/>
    <w:rsid w:val="00AD699D"/>
    <w:rsid w:val="00AD69A9"/>
    <w:rsid w:val="00AE005B"/>
    <w:rsid w:val="00AE14D2"/>
    <w:rsid w:val="00AE515A"/>
    <w:rsid w:val="00AE585D"/>
    <w:rsid w:val="00AE79E9"/>
    <w:rsid w:val="00AE7A75"/>
    <w:rsid w:val="00AF2A53"/>
    <w:rsid w:val="00AF54AD"/>
    <w:rsid w:val="00AF7F12"/>
    <w:rsid w:val="00B00F21"/>
    <w:rsid w:val="00B063A3"/>
    <w:rsid w:val="00B20D07"/>
    <w:rsid w:val="00B239DE"/>
    <w:rsid w:val="00B23AA4"/>
    <w:rsid w:val="00B26787"/>
    <w:rsid w:val="00B268FE"/>
    <w:rsid w:val="00B305A7"/>
    <w:rsid w:val="00B35B98"/>
    <w:rsid w:val="00B37A78"/>
    <w:rsid w:val="00B434CD"/>
    <w:rsid w:val="00B45247"/>
    <w:rsid w:val="00B50E9E"/>
    <w:rsid w:val="00B53877"/>
    <w:rsid w:val="00B543C1"/>
    <w:rsid w:val="00B545F5"/>
    <w:rsid w:val="00B56FE8"/>
    <w:rsid w:val="00B60476"/>
    <w:rsid w:val="00B6064D"/>
    <w:rsid w:val="00B718F9"/>
    <w:rsid w:val="00B81CC3"/>
    <w:rsid w:val="00B909CC"/>
    <w:rsid w:val="00B910A2"/>
    <w:rsid w:val="00B925E0"/>
    <w:rsid w:val="00B92CB1"/>
    <w:rsid w:val="00B93562"/>
    <w:rsid w:val="00BA6838"/>
    <w:rsid w:val="00BB0244"/>
    <w:rsid w:val="00BB1E61"/>
    <w:rsid w:val="00BB47E5"/>
    <w:rsid w:val="00BB512C"/>
    <w:rsid w:val="00BC0C29"/>
    <w:rsid w:val="00BC0C5A"/>
    <w:rsid w:val="00BC3B53"/>
    <w:rsid w:val="00BD0C3D"/>
    <w:rsid w:val="00BD0F14"/>
    <w:rsid w:val="00BD127E"/>
    <w:rsid w:val="00BD2529"/>
    <w:rsid w:val="00BD28E3"/>
    <w:rsid w:val="00BD3C90"/>
    <w:rsid w:val="00BD434E"/>
    <w:rsid w:val="00BD4D30"/>
    <w:rsid w:val="00BD7473"/>
    <w:rsid w:val="00BE3597"/>
    <w:rsid w:val="00BE439E"/>
    <w:rsid w:val="00BF6A9A"/>
    <w:rsid w:val="00C018CF"/>
    <w:rsid w:val="00C07245"/>
    <w:rsid w:val="00C1213D"/>
    <w:rsid w:val="00C176F1"/>
    <w:rsid w:val="00C17C83"/>
    <w:rsid w:val="00C201D3"/>
    <w:rsid w:val="00C21E65"/>
    <w:rsid w:val="00C24273"/>
    <w:rsid w:val="00C24CF5"/>
    <w:rsid w:val="00C265ED"/>
    <w:rsid w:val="00C27C15"/>
    <w:rsid w:val="00C31F91"/>
    <w:rsid w:val="00C34E08"/>
    <w:rsid w:val="00C35011"/>
    <w:rsid w:val="00C40ECA"/>
    <w:rsid w:val="00C43A11"/>
    <w:rsid w:val="00C44D3A"/>
    <w:rsid w:val="00C471D2"/>
    <w:rsid w:val="00C47259"/>
    <w:rsid w:val="00C510A3"/>
    <w:rsid w:val="00C54E21"/>
    <w:rsid w:val="00C54FA7"/>
    <w:rsid w:val="00C55A1D"/>
    <w:rsid w:val="00C55AB2"/>
    <w:rsid w:val="00C610B4"/>
    <w:rsid w:val="00C63101"/>
    <w:rsid w:val="00C64F41"/>
    <w:rsid w:val="00C65E67"/>
    <w:rsid w:val="00C66BD6"/>
    <w:rsid w:val="00C71300"/>
    <w:rsid w:val="00C72143"/>
    <w:rsid w:val="00C77756"/>
    <w:rsid w:val="00C8053B"/>
    <w:rsid w:val="00C81891"/>
    <w:rsid w:val="00C866B0"/>
    <w:rsid w:val="00C9618D"/>
    <w:rsid w:val="00C96E6B"/>
    <w:rsid w:val="00CA452E"/>
    <w:rsid w:val="00CA4A56"/>
    <w:rsid w:val="00CB0F39"/>
    <w:rsid w:val="00CB60A9"/>
    <w:rsid w:val="00CC23EF"/>
    <w:rsid w:val="00CC66CA"/>
    <w:rsid w:val="00CD2787"/>
    <w:rsid w:val="00CD409B"/>
    <w:rsid w:val="00CD5083"/>
    <w:rsid w:val="00CE2BCC"/>
    <w:rsid w:val="00CE3794"/>
    <w:rsid w:val="00CE6BBE"/>
    <w:rsid w:val="00CF073F"/>
    <w:rsid w:val="00CF7190"/>
    <w:rsid w:val="00D0345C"/>
    <w:rsid w:val="00D0409D"/>
    <w:rsid w:val="00D11791"/>
    <w:rsid w:val="00D136C0"/>
    <w:rsid w:val="00D25673"/>
    <w:rsid w:val="00D266D8"/>
    <w:rsid w:val="00D331E3"/>
    <w:rsid w:val="00D4076D"/>
    <w:rsid w:val="00D41503"/>
    <w:rsid w:val="00D44B1D"/>
    <w:rsid w:val="00D46B5A"/>
    <w:rsid w:val="00D541E6"/>
    <w:rsid w:val="00D60AB0"/>
    <w:rsid w:val="00D70D1B"/>
    <w:rsid w:val="00D73DD2"/>
    <w:rsid w:val="00D84BCF"/>
    <w:rsid w:val="00D86D8B"/>
    <w:rsid w:val="00D8705C"/>
    <w:rsid w:val="00D91F77"/>
    <w:rsid w:val="00D95096"/>
    <w:rsid w:val="00D954E3"/>
    <w:rsid w:val="00D95E67"/>
    <w:rsid w:val="00D977CD"/>
    <w:rsid w:val="00DA6596"/>
    <w:rsid w:val="00DB3B5E"/>
    <w:rsid w:val="00DB7778"/>
    <w:rsid w:val="00DB7AE8"/>
    <w:rsid w:val="00DB7E0D"/>
    <w:rsid w:val="00DC63EF"/>
    <w:rsid w:val="00DC7085"/>
    <w:rsid w:val="00DD0300"/>
    <w:rsid w:val="00DD1F96"/>
    <w:rsid w:val="00DD67A6"/>
    <w:rsid w:val="00DD6CC9"/>
    <w:rsid w:val="00DD6F68"/>
    <w:rsid w:val="00DD7E78"/>
    <w:rsid w:val="00DE0EE8"/>
    <w:rsid w:val="00DE2150"/>
    <w:rsid w:val="00DE24E7"/>
    <w:rsid w:val="00DE2A45"/>
    <w:rsid w:val="00DE4EBA"/>
    <w:rsid w:val="00DE4F81"/>
    <w:rsid w:val="00DE7FA7"/>
    <w:rsid w:val="00DF1228"/>
    <w:rsid w:val="00DF5FEE"/>
    <w:rsid w:val="00E01EA0"/>
    <w:rsid w:val="00E02872"/>
    <w:rsid w:val="00E122CD"/>
    <w:rsid w:val="00E13DD6"/>
    <w:rsid w:val="00E172DC"/>
    <w:rsid w:val="00E20ED8"/>
    <w:rsid w:val="00E253FD"/>
    <w:rsid w:val="00E27766"/>
    <w:rsid w:val="00E34667"/>
    <w:rsid w:val="00E34E05"/>
    <w:rsid w:val="00E3590F"/>
    <w:rsid w:val="00E365AB"/>
    <w:rsid w:val="00E54E1C"/>
    <w:rsid w:val="00E6028D"/>
    <w:rsid w:val="00E6095B"/>
    <w:rsid w:val="00E60CF8"/>
    <w:rsid w:val="00E70476"/>
    <w:rsid w:val="00E7589C"/>
    <w:rsid w:val="00E7792B"/>
    <w:rsid w:val="00E83169"/>
    <w:rsid w:val="00E84A0D"/>
    <w:rsid w:val="00E84F41"/>
    <w:rsid w:val="00E85272"/>
    <w:rsid w:val="00E85354"/>
    <w:rsid w:val="00E8680C"/>
    <w:rsid w:val="00E90D80"/>
    <w:rsid w:val="00E90E75"/>
    <w:rsid w:val="00E97E94"/>
    <w:rsid w:val="00EA2E1D"/>
    <w:rsid w:val="00EA557C"/>
    <w:rsid w:val="00EA7F98"/>
    <w:rsid w:val="00EB7A13"/>
    <w:rsid w:val="00EC3615"/>
    <w:rsid w:val="00EC5167"/>
    <w:rsid w:val="00EC5D48"/>
    <w:rsid w:val="00EC7696"/>
    <w:rsid w:val="00ED02FD"/>
    <w:rsid w:val="00ED0E98"/>
    <w:rsid w:val="00ED4061"/>
    <w:rsid w:val="00ED5437"/>
    <w:rsid w:val="00EE050F"/>
    <w:rsid w:val="00EE05C0"/>
    <w:rsid w:val="00EE116E"/>
    <w:rsid w:val="00EE7040"/>
    <w:rsid w:val="00EF4287"/>
    <w:rsid w:val="00EF5597"/>
    <w:rsid w:val="00F026F2"/>
    <w:rsid w:val="00F04B4C"/>
    <w:rsid w:val="00F10608"/>
    <w:rsid w:val="00F14D34"/>
    <w:rsid w:val="00F16362"/>
    <w:rsid w:val="00F16E99"/>
    <w:rsid w:val="00F21000"/>
    <w:rsid w:val="00F22D3E"/>
    <w:rsid w:val="00F22E33"/>
    <w:rsid w:val="00F230F5"/>
    <w:rsid w:val="00F244CC"/>
    <w:rsid w:val="00F264EC"/>
    <w:rsid w:val="00F2750F"/>
    <w:rsid w:val="00F27FE4"/>
    <w:rsid w:val="00F31E09"/>
    <w:rsid w:val="00F3694E"/>
    <w:rsid w:val="00F432CB"/>
    <w:rsid w:val="00F53BDD"/>
    <w:rsid w:val="00F564AE"/>
    <w:rsid w:val="00F613BA"/>
    <w:rsid w:val="00F6241B"/>
    <w:rsid w:val="00F62AE8"/>
    <w:rsid w:val="00F6316B"/>
    <w:rsid w:val="00F814D6"/>
    <w:rsid w:val="00F81B8F"/>
    <w:rsid w:val="00F81BC2"/>
    <w:rsid w:val="00F81C6A"/>
    <w:rsid w:val="00F84CBB"/>
    <w:rsid w:val="00F87B04"/>
    <w:rsid w:val="00F900C9"/>
    <w:rsid w:val="00FA009F"/>
    <w:rsid w:val="00FA032B"/>
    <w:rsid w:val="00FA4291"/>
    <w:rsid w:val="00FA51FA"/>
    <w:rsid w:val="00FA6CF4"/>
    <w:rsid w:val="00FB2464"/>
    <w:rsid w:val="00FB3E00"/>
    <w:rsid w:val="00FB6306"/>
    <w:rsid w:val="00FC14E5"/>
    <w:rsid w:val="00FC15B7"/>
    <w:rsid w:val="00FC1B3B"/>
    <w:rsid w:val="00FC2A30"/>
    <w:rsid w:val="00FC5219"/>
    <w:rsid w:val="00FD0B79"/>
    <w:rsid w:val="00FD12C6"/>
    <w:rsid w:val="00FD1823"/>
    <w:rsid w:val="00FD2C32"/>
    <w:rsid w:val="00FD383F"/>
    <w:rsid w:val="00FD5D4B"/>
    <w:rsid w:val="00FD77F0"/>
    <w:rsid w:val="00FE14E4"/>
    <w:rsid w:val="00FE234E"/>
    <w:rsid w:val="00FE3045"/>
    <w:rsid w:val="00FE5AEB"/>
    <w:rsid w:val="00FF109A"/>
    <w:rsid w:val="00FF12F1"/>
    <w:rsid w:val="00FF608F"/>
    <w:rsid w:val="019B5BB7"/>
    <w:rsid w:val="04186C50"/>
    <w:rsid w:val="05671909"/>
    <w:rsid w:val="065063D6"/>
    <w:rsid w:val="0789259F"/>
    <w:rsid w:val="0A077AB4"/>
    <w:rsid w:val="0C7E5402"/>
    <w:rsid w:val="0F603CB1"/>
    <w:rsid w:val="10692E7C"/>
    <w:rsid w:val="12401F34"/>
    <w:rsid w:val="13DA110A"/>
    <w:rsid w:val="17486C88"/>
    <w:rsid w:val="175A5378"/>
    <w:rsid w:val="18A96A29"/>
    <w:rsid w:val="1BD32365"/>
    <w:rsid w:val="216D73E6"/>
    <w:rsid w:val="22B97C39"/>
    <w:rsid w:val="24861055"/>
    <w:rsid w:val="25A4254E"/>
    <w:rsid w:val="26FE1506"/>
    <w:rsid w:val="2A6F5FD6"/>
    <w:rsid w:val="2A9B6323"/>
    <w:rsid w:val="2B922A5D"/>
    <w:rsid w:val="2C1C43EC"/>
    <w:rsid w:val="302F1C43"/>
    <w:rsid w:val="3139204C"/>
    <w:rsid w:val="32364C15"/>
    <w:rsid w:val="329C3CFF"/>
    <w:rsid w:val="32C05DB9"/>
    <w:rsid w:val="33FD57B6"/>
    <w:rsid w:val="3A1F3542"/>
    <w:rsid w:val="3BF94372"/>
    <w:rsid w:val="3EB42F90"/>
    <w:rsid w:val="408F157C"/>
    <w:rsid w:val="40C75EFF"/>
    <w:rsid w:val="43AF3571"/>
    <w:rsid w:val="469A2B00"/>
    <w:rsid w:val="4CEC2359"/>
    <w:rsid w:val="4DD64387"/>
    <w:rsid w:val="4F4D5853"/>
    <w:rsid w:val="50CC0F59"/>
    <w:rsid w:val="5213053E"/>
    <w:rsid w:val="54A221B2"/>
    <w:rsid w:val="560138E2"/>
    <w:rsid w:val="5629764F"/>
    <w:rsid w:val="5A472F1D"/>
    <w:rsid w:val="5D641FD1"/>
    <w:rsid w:val="61995C3B"/>
    <w:rsid w:val="61B35585"/>
    <w:rsid w:val="64AA5237"/>
    <w:rsid w:val="660610FD"/>
    <w:rsid w:val="66673770"/>
    <w:rsid w:val="68AC1869"/>
    <w:rsid w:val="6AF67A97"/>
    <w:rsid w:val="6BC05D18"/>
    <w:rsid w:val="6D8D3CCB"/>
    <w:rsid w:val="6EBD02E5"/>
    <w:rsid w:val="6EEB4938"/>
    <w:rsid w:val="6F0825F8"/>
    <w:rsid w:val="6FFF6DD6"/>
    <w:rsid w:val="71BB2A0F"/>
    <w:rsid w:val="743A5685"/>
    <w:rsid w:val="74CC3A02"/>
    <w:rsid w:val="74D568EA"/>
    <w:rsid w:val="76DB1BCE"/>
    <w:rsid w:val="783512C9"/>
    <w:rsid w:val="7ABC4B55"/>
    <w:rsid w:val="7B1C72B0"/>
    <w:rsid w:val="7B610406"/>
    <w:rsid w:val="7D7247B7"/>
    <w:rsid w:val="7E7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cs="Courier New" w:eastAsiaTheme="minorHAnsi"/>
      <w:lang w:val="ru-RU" w:eastAsia="en-US" w:bidi="ar-SA"/>
    </w:rPr>
  </w:style>
  <w:style w:type="paragraph" w:customStyle="1" w:styleId="19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20">
    <w:name w:val="Верхний колонтитул Знак"/>
    <w:basedOn w:val="3"/>
    <w:link w:val="7"/>
    <w:qFormat/>
    <w:uiPriority w:val="99"/>
  </w:style>
  <w:style w:type="character" w:customStyle="1" w:styleId="21">
    <w:name w:val="Нижний колонтитул Знак"/>
    <w:basedOn w:val="3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FE7C-07BE-4F82-89E8-4926D1583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6617</Words>
  <Characters>37720</Characters>
  <Lines>314</Lines>
  <Paragraphs>88</Paragraphs>
  <TotalTime>35</TotalTime>
  <ScaleCrop>false</ScaleCrop>
  <LinksUpToDate>false</LinksUpToDate>
  <CharactersWithSpaces>44249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2015-02-06T06:05:00Z</dcterms:created>
  <dc:creator>KSP1</dc:creator>
  <cp:lastModifiedBy>WPS_1698754307</cp:lastModifiedBy>
  <cp:lastPrinted>2022-04-27T07:14:00Z</cp:lastPrinted>
  <dcterms:modified xsi:type="dcterms:W3CDTF">2024-04-25T11:43:06Z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DD55738566BB4765AFBA5997D0FE09D2</vt:lpwstr>
  </property>
</Properties>
</file>