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КОНТРОЛЬНО - СЧЕТНАЯ ПАЛАТА МУНИЦИПАЛЬНОГО ОБРАЗОВАНИЯ </w:t>
      </w:r>
    </w:p>
    <w:p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«АХТУБИНСКИЙ МУНИЦИПАЛЬНЫЙ РАЙОН АСТРАХАНСКОЙ ОБЛАСТИ»</w:t>
      </w:r>
    </w:p>
    <w:p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Волгоградская ул., д.141, г. Ахтубинск, 416500 Тел. (8-85141) 4-04-24 </w:t>
      </w:r>
    </w:p>
    <w:p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ОКПО 78317643, ОГРН 1063022000282, ИНН/КПП 3001040259/300101001</w:t>
      </w:r>
    </w:p>
    <w:p>
      <w:pPr>
        <w:pBdr>
          <w:top w:val="thinThickSmallGap" w:color="auto" w:sz="24" w:space="1"/>
        </w:pBdr>
        <w:spacing w:line="360" w:lineRule="auto"/>
        <w:jc w:val="center"/>
      </w:pPr>
    </w:p>
    <w:p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результатам экспертизы </w:t>
      </w:r>
    </w:p>
    <w:p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проекта решения Совета МО «Ахтубинский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муниципальный</w:t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район</w:t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Астраханской области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«О внесении изменений в решение Совета муниципального образования «Ахтубинский район» от 08.12.2022 г. № 309 «О бюджете муниципального образования «Ахтубинский муниципальный район Астраханской области» на 2023 год и на плановый период 2024 и 2025 годов»</w:t>
      </w:r>
    </w:p>
    <w:p>
      <w:pPr>
        <w:jc w:val="center"/>
        <w:rPr>
          <w:sz w:val="24"/>
          <w:szCs w:val="24"/>
          <w:highlight w:val="lightGray"/>
        </w:rPr>
      </w:pPr>
    </w:p>
    <w:p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highlight w:val="none"/>
        </w:rPr>
        <w:t>22 декабря 2023 года</w:t>
      </w:r>
      <w:r>
        <w:rPr>
          <w:rFonts w:ascii="Times New Roman" w:hAnsi="Times New Roman" w:cs="Times New Roman"/>
          <w:b w:val="0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highlight w:val="none"/>
        </w:rPr>
        <w:t>№ З-</w:t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highlight w:val="none"/>
          <w:lang w:val="ru-RU"/>
        </w:rPr>
        <w:t>72</w:t>
      </w:r>
      <w:r>
        <w:rPr>
          <w:rFonts w:ascii="Times New Roman" w:hAnsi="Times New Roman" w:cs="Times New Roman"/>
          <w:b w:val="0"/>
          <w:color w:val="auto"/>
          <w:sz w:val="24"/>
          <w:szCs w:val="24"/>
          <w:highlight w:val="none"/>
        </w:rPr>
        <w:t>/2023</w:t>
      </w:r>
    </w:p>
    <w:p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highlight w:val="lightGray"/>
        </w:rPr>
      </w:pPr>
    </w:p>
    <w:p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Заключение на проект решения Совета муниципального образования «Ахтубинский муниципальный район Астраханской области» «О внесении изменений в решение Совета муниципального образования «Ахтубинский район от 08.12.2022 г. № 309 «О бюджете муниципального образования «Ахтубинский муниципальный район Астраханской области» на 2023 год и на плановый период 2024 и 2025 годов»</w:t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(в ред. от 13.04.2023 г. №338, от 28.09.2023 г. №366)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- проект Решения) подготовлено Контрольно-счетной палатой муниципального образования «Ахтубинский муниципальный район Астраханской области» (далее - Контрольно-счетная палата) по результатам комплекса экспертно-аналитических мероприятий, в соответствии с Бюджетным Кодексом Российской Федерации</w:t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(далее - БК РФ)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Положением о бюджетном процессе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bidi="ru-RU"/>
        </w:rPr>
        <w:t>в муниципальном образовании «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Ахтубинский муниципальный район Астраханской области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bidi="ru-RU"/>
        </w:rPr>
        <w:t>»</w:t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lang w:val="en-US" w:bidi="ru-RU"/>
        </w:rPr>
        <w:t xml:space="preserve"> (далее - Положение о бюджетном процессе)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bidi="ru-RU"/>
        </w:rPr>
        <w:t>, Стандартом внешнего муниципального финансового контроля «Экспертиза проекта бюджета на очередной финансовый год и плановый период».</w:t>
      </w:r>
    </w:p>
    <w:p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В соответствии с требованиями статьи 16.1 Положения о бюджетном процессе глава муниципального образования вносит на рассмотрение Совету муниципального образования «</w:t>
      </w:r>
      <w:r>
        <w:rPr>
          <w:sz w:val="24"/>
          <w:szCs w:val="24"/>
        </w:rPr>
        <w:t>Ахтубинский муниципальный район Астраханской области</w:t>
      </w:r>
      <w:r>
        <w:rPr>
          <w:sz w:val="24"/>
          <w:szCs w:val="24"/>
          <w:lang w:bidi="ru-RU"/>
        </w:rPr>
        <w:t>» проект решения о внесении изменений в решение о бюджете на текущий финансовый год.</w:t>
      </w:r>
    </w:p>
    <w:p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Проект Решения поступил в Контрольно-счетную палату 19.12.2023 года. В соответствии с требованиями статьи 16.4 Положения о бюджетном процессе, проект вносится вместе со следующими материалами:</w:t>
      </w:r>
    </w:p>
    <w:p>
      <w:pPr>
        <w:pStyle w:val="22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lang w:bidi="ru-RU"/>
        </w:rPr>
        <w:t>пояснительной запиской к указанному проекту решения, с обоснованием предлагаемых изменений;</w:t>
      </w:r>
    </w:p>
    <w:p>
      <w:pPr>
        <w:pStyle w:val="22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отчётом об исполнении бюджета муниципального образования «Ахтубинский муниципальный район Астраханской области» за истекший период текущего финансового года на последнюю отчётную дату;</w:t>
      </w:r>
    </w:p>
    <w:p>
      <w:pPr>
        <w:pStyle w:val="22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сведениями о предоставлении и погашении кредитов.</w:t>
      </w:r>
    </w:p>
    <w:p>
      <w:pPr>
        <w:pStyle w:val="22"/>
        <w:ind w:left="0" w:firstLine="709"/>
        <w:jc w:val="both"/>
        <w:rPr>
          <w:highlight w:val="lightGray"/>
        </w:rPr>
      </w:pPr>
      <w:r>
        <w:t>Отчёт об исполнении бюджета муниципального образования «Ахтубинский муниципальный район Астраханской области» за истекший период текущего финансового года на последнюю отчётную дату (на 01.12.2023г.) представлен в электронном виде.</w:t>
      </w:r>
    </w:p>
    <w:p>
      <w:pPr>
        <w:pStyle w:val="22"/>
        <w:numPr>
          <w:ilvl w:val="0"/>
          <w:numId w:val="2"/>
        </w:numPr>
        <w:jc w:val="center"/>
        <w:rPr>
          <w:b/>
        </w:rPr>
      </w:pPr>
      <w:r>
        <w:rPr>
          <w:b/>
        </w:rPr>
        <w:t>Изменение основных характеристик бюджета</w:t>
      </w:r>
    </w:p>
    <w:p>
      <w:pPr>
        <w:pStyle w:val="22"/>
        <w:ind w:left="0" w:firstLine="709"/>
        <w:jc w:val="both"/>
      </w:pPr>
      <w:r>
        <w:t xml:space="preserve">Проектом Решения предусмотрено изменение основных характеристик бюджета на 2023 и плановый период 2024 и 2025 годов в связи с изменением размера безвозмездных поступлений от других бюджетов бюджетной системы Российской Федерации и изменением прогнозов поступлений главных администраторов доходов бюджета. </w:t>
      </w:r>
    </w:p>
    <w:p>
      <w:pPr>
        <w:shd w:val="clear" w:color="auto" w:fill="FFFFFF"/>
        <w:jc w:val="right"/>
        <w:rPr>
          <w:sz w:val="24"/>
          <w:szCs w:val="24"/>
        </w:rPr>
      </w:pPr>
      <w:r>
        <w:rPr>
          <w:color w:val="082062"/>
          <w:sz w:val="24"/>
          <w:szCs w:val="24"/>
        </w:rPr>
        <w:t> </w:t>
      </w:r>
      <w:r>
        <w:rPr>
          <w:sz w:val="24"/>
          <w:szCs w:val="24"/>
        </w:rPr>
        <w:t>Таблица №1 (тыс. руб.)</w:t>
      </w:r>
    </w:p>
    <w:tbl>
      <w:tblPr>
        <w:tblStyle w:val="5"/>
        <w:tblW w:w="911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168"/>
        <w:gridCol w:w="1775"/>
        <w:gridCol w:w="1516"/>
        <w:gridCol w:w="1360"/>
        <w:gridCol w:w="13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exac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Период (год)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Утверждённые бюджетные назначения </w:t>
            </w: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(решение № 366 от 28.09.2023 г.), тыс. руб.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Проект бюджета, тыс. руб.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Сумма уточнения, тыс.руб.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Изменение, % (гр5/гр3)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Доходы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1814 027,36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2239 173,51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425 146,1</w:t>
            </w: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1828 747,13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2253 893,27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425 146,1</w:t>
            </w: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Дефицит/профицит 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-14 719,77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-14 719,77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2024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Доходы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1553 379,48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1468 309,09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-85 070,38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1547 437,81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1462 367,43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-85 070,38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Дефицит/профицит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5 941,67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5 941,67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Доходы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1394 967,92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1394 967,92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1382 601,25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1382 601,25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Дефицит/профицит 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12 366,67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12 366,67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0,0</w:t>
            </w:r>
          </w:p>
        </w:tc>
      </w:tr>
    </w:tbl>
    <w:p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проектом решения предусмотрено: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- увеличение общего объёма доходов на 425146,15 тыс. руб. или на 23,4% и утвердить в объёме </w:t>
      </w:r>
      <w:r>
        <w:rPr>
          <w:sz w:val="24"/>
          <w:szCs w:val="24"/>
        </w:rPr>
        <w:t xml:space="preserve">2239173,51 </w:t>
      </w:r>
      <w:r>
        <w:rPr>
          <w:sz w:val="24"/>
          <w:szCs w:val="24"/>
          <w:lang w:bidi="ru-RU"/>
        </w:rPr>
        <w:t>тыс. руб.;</w:t>
      </w:r>
    </w:p>
    <w:p>
      <w:pPr>
        <w:pStyle w:val="12"/>
        <w:spacing w:after="0"/>
        <w:ind w:firstLine="709"/>
        <w:jc w:val="both"/>
        <w:rPr>
          <w:lang w:eastAsia="ru-RU" w:bidi="ru-RU"/>
        </w:rPr>
      </w:pPr>
      <w:r>
        <w:t xml:space="preserve">- увеличение общего объёма расходов </w:t>
      </w:r>
      <w:r>
        <w:rPr>
          <w:lang w:eastAsia="ru-RU" w:bidi="ru-RU"/>
        </w:rPr>
        <w:t>на 425146,15 тыс. руб. или на 23,2% и утвердить в объёме 2253893,27 тыс. руб.;</w:t>
      </w:r>
    </w:p>
    <w:p>
      <w:pPr>
        <w:pStyle w:val="12"/>
        <w:spacing w:after="0"/>
        <w:ind w:firstLine="709"/>
        <w:jc w:val="both"/>
        <w:rPr>
          <w:i/>
        </w:rPr>
      </w:pPr>
      <w:r>
        <w:t>- дефицит бюджета составит 14719,77 тыс. руб.</w:t>
      </w:r>
    </w:p>
    <w:p>
      <w:pPr>
        <w:shd w:val="clear" w:color="auto" w:fill="FFFFFF"/>
        <w:ind w:firstLine="709"/>
        <w:jc w:val="both"/>
        <w:rPr>
          <w:sz w:val="24"/>
          <w:szCs w:val="24"/>
          <w:lang w:bidi="ru-RU"/>
        </w:rPr>
      </w:pPr>
      <w:r>
        <w:rPr>
          <w:b/>
          <w:sz w:val="24"/>
          <w:szCs w:val="24"/>
        </w:rPr>
        <w:t xml:space="preserve">На плановый период 2024 года </w:t>
      </w:r>
      <w:r>
        <w:rPr>
          <w:sz w:val="24"/>
          <w:szCs w:val="24"/>
          <w:lang w:bidi="ru-RU"/>
        </w:rPr>
        <w:t>проектом решения предусмотрены следующие изменения:</w:t>
      </w:r>
    </w:p>
    <w:p>
      <w:pPr>
        <w:pStyle w:val="12"/>
        <w:spacing w:after="0"/>
        <w:ind w:firstLine="567"/>
        <w:jc w:val="both"/>
      </w:pPr>
      <w:r>
        <w:t xml:space="preserve">- </w:t>
      </w:r>
      <w:r>
        <w:rPr>
          <w:lang w:bidi="ru-RU"/>
        </w:rPr>
        <w:t xml:space="preserve">уменьшение общего объёма доходов на 85070,38 тыс. руб. или на 5,5% и утвердить в объёме </w:t>
      </w:r>
      <w:r>
        <w:rPr>
          <w:color w:val="000000"/>
        </w:rPr>
        <w:t xml:space="preserve">1468309,09 </w:t>
      </w:r>
      <w:r>
        <w:rPr>
          <w:lang w:bidi="ru-RU"/>
        </w:rPr>
        <w:t>тыс. руб</w:t>
      </w:r>
      <w:r>
        <w:t>.;</w:t>
      </w:r>
    </w:p>
    <w:p>
      <w:pPr>
        <w:pStyle w:val="12"/>
        <w:spacing w:after="0"/>
        <w:ind w:firstLine="567"/>
        <w:jc w:val="both"/>
      </w:pPr>
      <w:r>
        <w:t>- уменьшение общего объёма расходов на 85070,38 тыс. руб. или на 5,5% и утвердить в объёме 1462367,43 тыс. руб. в том числе условно утверждённые расходы в сумме 14 000,00 тыс. руб. Объём условно утверждённых расходов сформирован в соответствии с п. 3 ст. 184.1 БК РФ (общий объем условно утверждаемых (утверждённых) расходов на первый год планового периода формируется в объёме не менее 2,5 процентов общего объёма расходов бюджета (без учёта расходов бюджета, предусмотренных за счёт межбюджетных трансфертов из других бюджетов бюджетной системы Российской Федерации, имеющих целевое назначение);</w:t>
      </w:r>
    </w:p>
    <w:p>
      <w:pPr>
        <w:pStyle w:val="12"/>
        <w:spacing w:after="0"/>
        <w:ind w:firstLine="567"/>
        <w:jc w:val="both"/>
        <w:rPr>
          <w:rFonts w:eastAsiaTheme="minorHAnsi"/>
          <w:lang w:eastAsia="en-US"/>
        </w:rPr>
      </w:pPr>
      <w:r>
        <w:t>- профицит бюджета составит 5941,67 тыс. руб.</w:t>
      </w:r>
    </w:p>
    <w:p>
      <w:pPr>
        <w:pStyle w:val="12"/>
        <w:spacing w:after="0"/>
        <w:ind w:firstLine="567"/>
        <w:jc w:val="both"/>
      </w:pPr>
      <w:r>
        <w:rPr>
          <w:b/>
        </w:rPr>
        <w:t xml:space="preserve">На плановый период 2025 года </w:t>
      </w:r>
      <w:r>
        <w:rPr>
          <w:lang w:bidi="ru-RU"/>
        </w:rPr>
        <w:t>проектом решения изменения не предусмотрены.</w:t>
      </w:r>
    </w:p>
    <w:p>
      <w:pPr>
        <w:pStyle w:val="12"/>
        <w:spacing w:after="0"/>
        <w:ind w:firstLine="567"/>
        <w:jc w:val="both"/>
        <w:rPr>
          <w:highlight w:val="lightGray"/>
        </w:rPr>
      </w:pPr>
    </w:p>
    <w:p>
      <w:pPr>
        <w:pStyle w:val="22"/>
        <w:ind w:left="0" w:firstLine="709"/>
        <w:jc w:val="both"/>
        <w:rPr>
          <w:i/>
          <w:iCs/>
        </w:rPr>
      </w:pPr>
      <w:r>
        <w:rPr>
          <w:i/>
          <w:iCs/>
        </w:rPr>
        <w:t>Корректировки бюджетных назначений произведены в соответствии с Законом Астраханской области от 15.12.2022 N 93/2022-ОЗ "О бюджете Астраханской области на 2023 год и на плановый период 2024 и 2025 годов" (ред.от 10.11.2023) (приложение №</w:t>
      </w:r>
      <w:r>
        <w:rPr>
          <w:i/>
          <w:iCs/>
          <w:lang w:eastAsia="ar-SA"/>
        </w:rPr>
        <w:t>13,14,14.1,14</w:t>
      </w:r>
      <w:r>
        <w:rPr>
          <w:rFonts w:hint="default"/>
          <w:i/>
          <w:iCs/>
          <w:lang w:val="ru-RU" w:eastAsia="ar-SA"/>
        </w:rPr>
        <w:t>.</w:t>
      </w:r>
      <w:r>
        <w:rPr>
          <w:i/>
          <w:iCs/>
          <w:lang w:eastAsia="ar-SA"/>
        </w:rPr>
        <w:t>2,17,18,27,31,33</w:t>
      </w:r>
      <w:r>
        <w:rPr>
          <w:i/>
          <w:iCs/>
        </w:rPr>
        <w:t xml:space="preserve">), </w:t>
      </w:r>
      <w:r>
        <w:rPr>
          <w:i/>
          <w:iCs/>
          <w:lang w:eastAsia="ar-SA"/>
        </w:rPr>
        <w:t>уведомлениями Министерства финансов Астраханской области о предоставлении субсидии, субвенции, иного межбюджетного трансферта, имеющего целевое назначение на 2023 год и плановый период 2024 и 2025 годов от 01.12.2023 г. №5157/1, 5167/1.</w:t>
      </w:r>
    </w:p>
    <w:p>
      <w:pPr>
        <w:pStyle w:val="22"/>
        <w:ind w:left="0" w:firstLine="709"/>
        <w:jc w:val="both"/>
        <w:rPr>
          <w:highlight w:val="lightGray"/>
        </w:rPr>
      </w:pPr>
    </w:p>
    <w:p>
      <w:pPr>
        <w:pStyle w:val="29"/>
        <w:numPr>
          <w:ilvl w:val="0"/>
          <w:numId w:val="2"/>
        </w:numPr>
        <w:tabs>
          <w:tab w:val="left" w:pos="426"/>
          <w:tab w:val="left" w:pos="851"/>
        </w:tabs>
        <w:jc w:val="center"/>
        <w:rPr>
          <w:rFonts w:ascii="Times New Roman" w:hAnsi="Times New Roman" w:eastAsia="Times New Roman" w:cs="Times New Roman"/>
          <w:b/>
          <w:color w:val="auto"/>
          <w:lang w:eastAsia="ru-RU"/>
        </w:rPr>
      </w:pPr>
      <w:r>
        <w:rPr>
          <w:rFonts w:ascii="Times New Roman" w:hAnsi="Times New Roman" w:eastAsia="Times New Roman" w:cs="Times New Roman"/>
          <w:b/>
          <w:color w:val="auto"/>
          <w:lang w:eastAsia="ru-RU"/>
        </w:rPr>
        <w:t>Муниципальный долг и расходы на его обслуживание.</w:t>
      </w:r>
    </w:p>
    <w:p>
      <w:pPr>
        <w:pStyle w:val="29"/>
        <w:ind w:firstLine="709"/>
        <w:jc w:val="both"/>
        <w:rPr>
          <w:rFonts w:ascii="Times New Roman" w:hAnsi="Times New Roman" w:eastAsia="Times New Roman" w:cs="Times New Roman"/>
          <w:color w:val="auto"/>
          <w:lang w:eastAsia="ru-RU"/>
        </w:rPr>
      </w:pPr>
      <w:r>
        <w:rPr>
          <w:rFonts w:ascii="Times New Roman" w:hAnsi="Times New Roman" w:eastAsia="Times New Roman" w:cs="Times New Roman"/>
          <w:color w:val="auto"/>
          <w:lang w:eastAsia="ru-RU"/>
        </w:rPr>
        <w:t>По состоянию на 01.12.2023 г. объем муниципального внутреннего долга муниципального образования «Ахтубинский муниципальный район Астраханской области» (далее - МО «Ахтубинский район») составляет 37583,33 тыс. руб. Проектом решения изменение верхнего предела муниципального внутреннего долга не предусмотрено:</w:t>
      </w:r>
    </w:p>
    <w:p>
      <w:pPr>
        <w:pStyle w:val="29"/>
        <w:ind w:firstLine="709"/>
        <w:jc w:val="right"/>
        <w:rPr>
          <w:rFonts w:ascii="Times New Roman" w:hAnsi="Times New Roman" w:eastAsia="Times New Roman" w:cs="Times New Roman"/>
          <w:color w:val="auto"/>
          <w:lang w:eastAsia="ru-RU"/>
        </w:rPr>
      </w:pPr>
      <w:r>
        <w:rPr>
          <w:rFonts w:ascii="Times New Roman" w:hAnsi="Times New Roman" w:eastAsia="Times New Roman" w:cs="Times New Roman"/>
          <w:color w:val="auto"/>
          <w:lang w:eastAsia="ru-RU"/>
        </w:rPr>
        <w:t>Таблица №2 (тыс. руб.)</w:t>
      </w:r>
    </w:p>
    <w:tbl>
      <w:tblPr>
        <w:tblStyle w:val="5"/>
        <w:tblW w:w="921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97"/>
        <w:gridCol w:w="2538"/>
        <w:gridCol w:w="1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Дата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Утверждённые бюджетные назначения 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Проект решения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Сумма уточнения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На 01.01.2024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37 583,33334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37 583,33334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На 01.01.2025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31 641,66667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31 641,66667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На 01.01.2026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19 275,00000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19 275,00000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0,00000</w:t>
            </w:r>
          </w:p>
        </w:tc>
      </w:tr>
    </w:tbl>
    <w:p>
      <w:pPr>
        <w:pStyle w:val="29"/>
        <w:ind w:firstLine="709"/>
        <w:jc w:val="right"/>
        <w:rPr>
          <w:rFonts w:ascii="Times New Roman" w:hAnsi="Times New Roman" w:eastAsia="Times New Roman" w:cs="Times New Roman"/>
          <w:color w:val="auto"/>
          <w:highlight w:val="lightGray"/>
          <w:lang w:eastAsia="ru-RU"/>
        </w:rPr>
      </w:pPr>
    </w:p>
    <w:p>
      <w:pPr>
        <w:pStyle w:val="29"/>
        <w:ind w:firstLine="709"/>
        <w:jc w:val="both"/>
        <w:rPr>
          <w:rFonts w:ascii="Times New Roman" w:hAnsi="Times New Roman" w:eastAsia="Times New Roman" w:cs="Times New Roman"/>
          <w:color w:val="auto"/>
          <w:lang w:eastAsia="ru-RU"/>
        </w:rPr>
      </w:pPr>
      <w:r>
        <w:rPr>
          <w:rFonts w:ascii="Times New Roman" w:hAnsi="Times New Roman" w:eastAsia="Times New Roman" w:cs="Times New Roman"/>
          <w:color w:val="auto"/>
          <w:lang w:eastAsia="ru-RU"/>
        </w:rPr>
        <w:t>При определении предельного объёма муниципального долга соблюдены требования ст. 107 БК РФ. Показатели долговой нагрузки МО «Ахтубинский район» сохраняются на экономически безопасном уровне.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Структура муниципального внутреннего долга соответствует требованиям ст. 99 БК РФ. Информация о привлечении и погашении заёмных средств (приведена в таблице №3).</w:t>
      </w:r>
    </w:p>
    <w:p>
      <w:pPr>
        <w:pStyle w:val="22"/>
        <w:wordWrap w:val="0"/>
        <w:autoSpaceDE w:val="0"/>
        <w:autoSpaceDN w:val="0"/>
        <w:adjustRightInd w:val="0"/>
        <w:jc w:val="right"/>
      </w:pPr>
      <w:r>
        <w:t>Таблица №3 (тыс. руб.)</w:t>
      </w:r>
    </w:p>
    <w:tbl>
      <w:tblPr>
        <w:tblStyle w:val="5"/>
        <w:tblW w:w="912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3"/>
        <w:gridCol w:w="1450"/>
        <w:gridCol w:w="1130"/>
        <w:gridCol w:w="1337"/>
        <w:gridCol w:w="1147"/>
        <w:gridCol w:w="1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Источники внутреннего финансирования дефицита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Утверждённые бюджетные назначения 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2023 (проект)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Изменение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(гр.3-гр.2)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2024 (проект)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2025 (проект)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bottom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1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2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3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5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Источники внутреннего финансирования дефицита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14 719,77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14 719,77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0,00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-5 941,67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-12 366,67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Кредиты кредитных организаций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0,00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eastAsia="MS Mincho"/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  <w:lang w:val="en-US" w:eastAsia="zh-CN" w:bidi="ar"/>
              </w:rPr>
              <w:t>✓</w:t>
            </w:r>
            <w:r>
              <w:rPr>
                <w:rStyle w:val="31"/>
                <w:rFonts w:eastAsia="MS Mincho"/>
                <w:sz w:val="22"/>
                <w:szCs w:val="22"/>
                <w:lang w:val="en-US" w:eastAsia="zh-CN" w:bidi="ar"/>
              </w:rPr>
              <w:t xml:space="preserve"> привлечение кредитов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0,00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eastAsia="MS Mincho"/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  <w:lang w:val="en-US" w:eastAsia="zh-CN" w:bidi="ar"/>
              </w:rPr>
              <w:t>✓</w:t>
            </w:r>
            <w:r>
              <w:rPr>
                <w:rStyle w:val="31"/>
                <w:rFonts w:eastAsia="MS Mincho"/>
                <w:sz w:val="22"/>
                <w:szCs w:val="22"/>
                <w:lang w:val="en-US" w:eastAsia="zh-CN" w:bidi="ar"/>
              </w:rPr>
              <w:t xml:space="preserve"> погашение кредитов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0,00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Бюджетные кредиты из других бюджетов бюджетной системы РФ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-5 941,67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-5 941,67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-5 941,67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-12 366,67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eastAsia="MS Mincho"/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  <w:lang w:val="en-US" w:eastAsia="zh-CN" w:bidi="ar"/>
              </w:rPr>
              <w:t>✓</w:t>
            </w:r>
            <w:r>
              <w:rPr>
                <w:rStyle w:val="31"/>
                <w:rFonts w:eastAsia="MS Mincho"/>
                <w:sz w:val="22"/>
                <w:szCs w:val="22"/>
                <w:lang w:val="en-US" w:eastAsia="zh-CN" w:bidi="ar"/>
              </w:rPr>
              <w:t xml:space="preserve"> привлечение кредитов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eastAsia="MS Mincho"/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  <w:lang w:val="en-US" w:eastAsia="zh-CN" w:bidi="ar"/>
              </w:rPr>
              <w:t>✓</w:t>
            </w:r>
            <w:r>
              <w:rPr>
                <w:rStyle w:val="31"/>
                <w:rFonts w:eastAsia="MS Mincho"/>
                <w:sz w:val="22"/>
                <w:szCs w:val="22"/>
                <w:lang w:val="en-US" w:eastAsia="zh-CN" w:bidi="ar"/>
              </w:rPr>
              <w:t xml:space="preserve"> погашение кредитов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-5 941,67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-5 941,67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-5 941,67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-12 366,67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20 661,43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20 661,43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0,00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0,00</w:t>
            </w:r>
          </w:p>
        </w:tc>
      </w:tr>
    </w:tbl>
    <w:p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113 БК РФ поступления в бюджет средств от заимствований и погашение муниципального долга МО «Ахтубинский район» отражены в источниках финансирования дефицита муниципального бюджета (Приложение к проекту бюджета №2, №2.1).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договоров по привлечению бюджетных кредитов представлен в таблице №4:</w:t>
      </w:r>
    </w:p>
    <w:p>
      <w:pPr>
        <w:pStyle w:val="22"/>
        <w:autoSpaceDE w:val="0"/>
        <w:autoSpaceDN w:val="0"/>
        <w:adjustRightInd w:val="0"/>
        <w:jc w:val="right"/>
      </w:pPr>
      <w:r>
        <w:t xml:space="preserve">Таблица №4 (тыс. руб.) </w:t>
      </w:r>
    </w:p>
    <w:tbl>
      <w:tblPr>
        <w:tblStyle w:val="5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58"/>
        <w:gridCol w:w="5311"/>
        <w:gridCol w:w="1147"/>
        <w:gridCol w:w="1425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78" w:hRule="atLeast"/>
          <w:jc w:val="center"/>
        </w:trPr>
        <w:tc>
          <w:tcPr>
            <w:tcW w:w="658" w:type="dxa"/>
            <w:vAlign w:val="center"/>
          </w:tcPr>
          <w:p>
            <w:pPr>
              <w:pStyle w:val="28"/>
              <w:widowControl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№п/п</w:t>
            </w:r>
          </w:p>
        </w:tc>
        <w:tc>
          <w:tcPr>
            <w:tcW w:w="5311" w:type="dxa"/>
            <w:shd w:val="clear" w:color="auto" w:fill="auto"/>
            <w:vAlign w:val="center"/>
          </w:tcPr>
          <w:p>
            <w:pPr>
              <w:pStyle w:val="28"/>
              <w:widowControl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кредитора, номер, дата кредитного договора (соглашения)</w:t>
            </w:r>
          </w:p>
        </w:tc>
        <w:tc>
          <w:tcPr>
            <w:tcW w:w="1147" w:type="dxa"/>
            <w:vAlign w:val="center"/>
          </w:tcPr>
          <w:p>
            <w:pPr>
              <w:pStyle w:val="28"/>
              <w:widowControl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Процентная ставка (%)</w:t>
            </w:r>
          </w:p>
        </w:tc>
        <w:tc>
          <w:tcPr>
            <w:tcW w:w="1425" w:type="dxa"/>
            <w:vAlign w:val="center"/>
          </w:tcPr>
          <w:p>
            <w:pPr>
              <w:pStyle w:val="28"/>
              <w:widowControl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 погашения</w:t>
            </w:r>
          </w:p>
        </w:tc>
        <w:tc>
          <w:tcPr>
            <w:tcW w:w="1254" w:type="dxa"/>
            <w:vAlign w:val="center"/>
          </w:tcPr>
          <w:p>
            <w:pPr>
              <w:pStyle w:val="28"/>
              <w:widowControl/>
              <w:snapToGrid w:val="0"/>
              <w:ind w:left="-161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на 01.12.2023г.</w:t>
            </w:r>
          </w:p>
          <w:p>
            <w:pPr>
              <w:pStyle w:val="28"/>
              <w:widowControl/>
              <w:snapToGrid w:val="0"/>
              <w:ind w:left="-161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05" w:hRule="exact"/>
          <w:jc w:val="center"/>
        </w:trPr>
        <w:tc>
          <w:tcPr>
            <w:tcW w:w="658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311" w:type="dxa"/>
            <w:shd w:val="clear" w:color="auto" w:fill="auto"/>
            <w:vAlign w:val="center"/>
          </w:tcPr>
          <w:p>
            <w:pPr>
              <w:pStyle w:val="28"/>
              <w:widowControl/>
              <w:snapToGrid w:val="0"/>
              <w:ind w:left="-117" w:right="-15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договор от 20.03.2018 №02-03-13-02 (договор о реструктуризации от 30.12.2020 №02-03-13-03)</w:t>
            </w:r>
          </w:p>
        </w:tc>
        <w:tc>
          <w:tcPr>
            <w:tcW w:w="1147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425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30.11.2025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7933,33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09" w:hRule="exact"/>
          <w:jc w:val="center"/>
        </w:trPr>
        <w:tc>
          <w:tcPr>
            <w:tcW w:w="658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311" w:type="dxa"/>
            <w:shd w:val="clear" w:color="auto" w:fill="auto"/>
            <w:vAlign w:val="center"/>
          </w:tcPr>
          <w:p>
            <w:pPr>
              <w:pStyle w:val="28"/>
              <w:widowControl/>
              <w:snapToGrid w:val="0"/>
              <w:ind w:left="-117" w:right="-15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договор от 27.05.2019 №02-03-13-07 (договор о реструктуризации от 31.12.2020 №02-03-13-06)</w:t>
            </w:r>
          </w:p>
        </w:tc>
        <w:tc>
          <w:tcPr>
            <w:tcW w:w="1147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425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30.11.2025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6" w:hRule="exact"/>
          <w:jc w:val="center"/>
        </w:trPr>
        <w:tc>
          <w:tcPr>
            <w:tcW w:w="658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311" w:type="dxa"/>
            <w:shd w:val="clear" w:color="auto" w:fill="auto"/>
            <w:vAlign w:val="center"/>
          </w:tcPr>
          <w:p>
            <w:pPr>
              <w:pStyle w:val="28"/>
              <w:widowControl/>
              <w:snapToGrid w:val="0"/>
              <w:ind w:right="-1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договор от 12.07.2022 г. №102-07-710-01</w:t>
            </w:r>
          </w:p>
        </w:tc>
        <w:tc>
          <w:tcPr>
            <w:tcW w:w="1147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425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12.07.2027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25700,00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5" w:hRule="exact"/>
          <w:jc w:val="center"/>
        </w:trPr>
        <w:tc>
          <w:tcPr>
            <w:tcW w:w="658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>
            <w:pPr>
              <w:pStyle w:val="28"/>
              <w:widowControl/>
              <w:snapToGrid w:val="0"/>
              <w:ind w:left="-117" w:right="-15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147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37583,33</w:t>
            </w:r>
          </w:p>
        </w:tc>
      </w:tr>
    </w:tbl>
    <w:p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Обслуживание муниципального долга.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Проектом решения изменения по разделу «Обслуживание государственного и муниципального долга» не предусмотрены и составляют:</w:t>
      </w:r>
    </w:p>
    <w:p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№5 (тыс. руб.)</w:t>
      </w:r>
    </w:p>
    <w:tbl>
      <w:tblPr>
        <w:tblStyle w:val="5"/>
        <w:tblW w:w="912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3"/>
        <w:gridCol w:w="1450"/>
        <w:gridCol w:w="1130"/>
        <w:gridCol w:w="1337"/>
        <w:gridCol w:w="1147"/>
        <w:gridCol w:w="1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Наименование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Утверждённые бюджетные назначения 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2023 (проект)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Изменение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(гр.3-гр.2)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2024 (проект)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2025 (проект)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bottom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1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2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3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5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Объём расходов на обслуживание муниципального долга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43,02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43,02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0,00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37,08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30,54</w:t>
            </w:r>
          </w:p>
        </w:tc>
      </w:tr>
    </w:tbl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Доля расходов на обслуживание муниципального долга не превышает предельного ограничения, установленного ст. 111 БК РФ (15 % расходов местного бюджета, за исключением объёма расходов, которые осуществляются за счёт субвенций, предоставляемых из бюджетов бюджетной системы Российской Федерации), и составит в 2023 году 0,003 %, 2024 году – 0,004 %, 2025 году – 0,004 %.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>
      <w:pPr>
        <w:pStyle w:val="14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Доходная часть бюджета.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Решения на 2023 год предусмотрено увеличение общего объёма доходов бюджета на 425146,15 тыс. руб. или на 23,4%, за счёт увеличения налоговых поступлений на 14826,65 тыс. руб., уменьшения неналоговых доходов бюджета на 22332,64 тыс. руб. и увеличения безвозмездных поступлений от других бюджетов бюджетной системы Российской Федерации на 432652,14 тыс. руб.: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№6 (тыс. руб.)</w:t>
      </w:r>
    </w:p>
    <w:tbl>
      <w:tblPr>
        <w:tblStyle w:val="5"/>
        <w:tblW w:w="9048" w:type="dxa"/>
        <w:tblInd w:w="91" w:type="dxa"/>
        <w:shd w:val="clear" w:color="auto" w:fill="F2DCDC" w:themeFill="accent2" w:themeFillTint="32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165"/>
        <w:gridCol w:w="1684"/>
        <w:gridCol w:w="1775"/>
        <w:gridCol w:w="1466"/>
        <w:gridCol w:w="1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</w:tcPr>
          <w:p>
            <w:pPr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№</w:t>
            </w:r>
          </w:p>
        </w:tc>
        <w:tc>
          <w:tcPr>
            <w:tcW w:w="2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</w:tcPr>
          <w:p>
            <w:pPr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Наименование доходов</w:t>
            </w:r>
          </w:p>
        </w:tc>
        <w:tc>
          <w:tcPr>
            <w:tcW w:w="1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</w:tcPr>
          <w:p>
            <w:pPr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Утверждённые бюджетные назначения 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</w:tcPr>
          <w:p>
            <w:pPr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Уточнённый прогноз на 2023 год (проект)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Сумма уточнения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(гр.4-гр.3)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1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Изменение, % (гр 5/гр3*100)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vAlign w:val="center"/>
          </w:tcPr>
          <w:p>
            <w:pPr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Налоговые и неналоговые поступления</w:t>
            </w:r>
          </w:p>
        </w:tc>
        <w:tc>
          <w:tcPr>
            <w:tcW w:w="1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545 000,98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537 494,99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-7 506,00</w:t>
            </w:r>
          </w:p>
        </w:tc>
        <w:tc>
          <w:tcPr>
            <w:tcW w:w="1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- 1,38</w:t>
            </w:r>
          </w:p>
        </w:tc>
      </w:tr>
      <w:tr>
        <w:tblPrEx>
          <w:shd w:val="clear" w:color="auto" w:fill="F2DCDC" w:themeFill="accen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1.1</w:t>
            </w:r>
          </w:p>
        </w:tc>
        <w:tc>
          <w:tcPr>
            <w:tcW w:w="2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Налоговые доходы</w:t>
            </w:r>
          </w:p>
        </w:tc>
        <w:tc>
          <w:tcPr>
            <w:tcW w:w="1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423 426,61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438 253,26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14 826,65</w:t>
            </w:r>
          </w:p>
        </w:tc>
        <w:tc>
          <w:tcPr>
            <w:tcW w:w="1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3,50</w:t>
            </w:r>
          </w:p>
        </w:tc>
      </w:tr>
      <w:tr>
        <w:tblPrEx>
          <w:shd w:val="clear" w:color="auto" w:fill="F2DCDC" w:themeFill="accen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1.2</w:t>
            </w:r>
          </w:p>
        </w:tc>
        <w:tc>
          <w:tcPr>
            <w:tcW w:w="2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Неналоговые доходы</w:t>
            </w:r>
          </w:p>
        </w:tc>
        <w:tc>
          <w:tcPr>
            <w:tcW w:w="1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121 574,37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99 241,73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-22 332,64</w:t>
            </w:r>
          </w:p>
        </w:tc>
        <w:tc>
          <w:tcPr>
            <w:tcW w:w="1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- 18,37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Безвозмездные поступления</w:t>
            </w:r>
          </w:p>
        </w:tc>
        <w:tc>
          <w:tcPr>
            <w:tcW w:w="1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1269 026,38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1701 678,52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432 652,14</w:t>
            </w:r>
          </w:p>
        </w:tc>
        <w:tc>
          <w:tcPr>
            <w:tcW w:w="1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34,09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C" w:themeFill="accent2" w:themeFillTint="32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3</w:t>
            </w:r>
          </w:p>
        </w:tc>
        <w:tc>
          <w:tcPr>
            <w:tcW w:w="2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C" w:themeFill="accent2" w:themeFillTint="32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Итого доходов</w:t>
            </w:r>
          </w:p>
        </w:tc>
        <w:tc>
          <w:tcPr>
            <w:tcW w:w="1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C" w:themeFill="accent2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b/>
                <w:bCs/>
                <w:color w:val="000000"/>
                <w:sz w:val="21"/>
                <w:szCs w:val="21"/>
                <w:lang w:val="en-US" w:eastAsia="zh-CN" w:bidi="ar"/>
              </w:rPr>
              <w:t>1814 027,36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C" w:themeFill="accent2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b/>
                <w:bCs/>
                <w:color w:val="000000"/>
                <w:sz w:val="21"/>
                <w:szCs w:val="21"/>
                <w:lang w:val="en-US" w:eastAsia="zh-CN" w:bidi="ar"/>
              </w:rPr>
              <w:t>2239 173,51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C" w:themeFill="accent2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b/>
                <w:bCs/>
                <w:color w:val="000000"/>
                <w:sz w:val="21"/>
                <w:szCs w:val="21"/>
                <w:lang w:val="en-US" w:eastAsia="zh-CN" w:bidi="ar"/>
              </w:rPr>
              <w:t>425 146,15</w:t>
            </w:r>
          </w:p>
        </w:tc>
        <w:tc>
          <w:tcPr>
            <w:tcW w:w="1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C" w:themeFill="accent2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b/>
                <w:bCs/>
                <w:color w:val="000000"/>
                <w:sz w:val="21"/>
                <w:szCs w:val="21"/>
                <w:lang w:val="en-US" w:eastAsia="zh-CN" w:bidi="ar"/>
              </w:rPr>
              <w:t xml:space="preserve"> 23,44</w:t>
            </w:r>
          </w:p>
        </w:tc>
      </w:tr>
    </w:tbl>
    <w:p>
      <w:pPr>
        <w:jc w:val="right"/>
        <w:rPr>
          <w:sz w:val="24"/>
          <w:szCs w:val="24"/>
          <w:highlight w:val="lightGray"/>
        </w:rPr>
      </w:pPr>
    </w:p>
    <w:p>
      <w:pPr>
        <w:pStyle w:val="22"/>
        <w:numPr>
          <w:ilvl w:val="1"/>
          <w:numId w:val="2"/>
        </w:numPr>
        <w:ind w:left="0" w:firstLine="0"/>
        <w:jc w:val="both"/>
        <w:rPr>
          <w:lang w:eastAsia="ar-SA"/>
        </w:rPr>
      </w:pPr>
      <w:r>
        <w:rPr>
          <w:lang w:eastAsia="ar-SA"/>
        </w:rPr>
        <w:t>Проектом бюджета предусмотрено увеличение налоговых поступлений в соответствии с прогнозом поступлений на 2023 год на общую сумму 14826,65 тыс. руб. или на 3,5 %:</w:t>
      </w:r>
    </w:p>
    <w:p>
      <w:pPr>
        <w:ind w:left="709"/>
        <w:jc w:val="right"/>
        <w:rPr>
          <w:sz w:val="22"/>
          <w:szCs w:val="22"/>
          <w:lang w:eastAsia="ar-SA"/>
        </w:rPr>
      </w:pPr>
      <w:r>
        <w:rPr>
          <w:sz w:val="24"/>
          <w:szCs w:val="24"/>
          <w:lang w:eastAsia="ar-SA"/>
        </w:rPr>
        <w:t>Таблица №7 (тыс. руб.)</w:t>
      </w:r>
    </w:p>
    <w:tbl>
      <w:tblPr>
        <w:tblStyle w:val="5"/>
        <w:tblW w:w="9088" w:type="dxa"/>
        <w:tblInd w:w="91" w:type="dxa"/>
        <w:shd w:val="clear" w:color="auto" w:fill="F2DCDC" w:themeFill="accent2" w:themeFillTint="32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744"/>
        <w:gridCol w:w="1703"/>
        <w:gridCol w:w="1537"/>
        <w:gridCol w:w="1353"/>
        <w:gridCol w:w="1325"/>
      </w:tblGrid>
      <w:tr>
        <w:tblPrEx>
          <w:shd w:val="clear" w:color="auto" w:fill="F2DCDC" w:themeFill="accen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</w:tcPr>
          <w:p>
            <w:pPr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№</w:t>
            </w:r>
          </w:p>
        </w:tc>
        <w:tc>
          <w:tcPr>
            <w:tcW w:w="2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Наименование показателя</w:t>
            </w:r>
          </w:p>
        </w:tc>
        <w:tc>
          <w:tcPr>
            <w:tcW w:w="1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</w:tcPr>
          <w:p>
            <w:pPr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Утверждённые бюджетные назначения 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Уточнённый прогноз на 2023 год (проект)</w:t>
            </w:r>
          </w:p>
        </w:tc>
        <w:tc>
          <w:tcPr>
            <w:tcW w:w="1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Сумма уточнения (гр.4-гр.3)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Изменение, % (гр 5/гр3*100)</w:t>
            </w:r>
          </w:p>
        </w:tc>
      </w:tr>
      <w:tr>
        <w:tblPrEx>
          <w:shd w:val="clear" w:color="auto" w:fill="F2DCDC" w:themeFill="accen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</w:tr>
      <w:tr>
        <w:tblPrEx>
          <w:shd w:val="clear" w:color="auto" w:fill="F2DCDC" w:themeFill="accen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Налоги на прибыль, доходы</w:t>
            </w:r>
          </w:p>
        </w:tc>
        <w:tc>
          <w:tcPr>
            <w:tcW w:w="1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302289,18 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328000,70 </w:t>
            </w:r>
          </w:p>
        </w:tc>
        <w:tc>
          <w:tcPr>
            <w:tcW w:w="1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25711,52 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8,51 </w:t>
            </w:r>
          </w:p>
        </w:tc>
      </w:tr>
      <w:tr>
        <w:tblPrEx>
          <w:shd w:val="clear" w:color="auto" w:fill="F2DCDC" w:themeFill="accen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42642,93 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40961,42 </w:t>
            </w:r>
          </w:p>
        </w:tc>
        <w:tc>
          <w:tcPr>
            <w:tcW w:w="1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-1681,51 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-3,94 </w:t>
            </w:r>
          </w:p>
        </w:tc>
      </w:tr>
      <w:tr>
        <w:tblPrEx>
          <w:shd w:val="clear" w:color="auto" w:fill="F2DCDC" w:themeFill="accen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Налоги на совокупный доход</w:t>
            </w:r>
          </w:p>
        </w:tc>
        <w:tc>
          <w:tcPr>
            <w:tcW w:w="1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66979,50 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59457,63 </w:t>
            </w:r>
          </w:p>
        </w:tc>
        <w:tc>
          <w:tcPr>
            <w:tcW w:w="1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-7521,87 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-11,23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Государственная пошлина</w:t>
            </w:r>
          </w:p>
        </w:tc>
        <w:tc>
          <w:tcPr>
            <w:tcW w:w="1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11515,00 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9819,00 </w:t>
            </w:r>
          </w:p>
        </w:tc>
        <w:tc>
          <w:tcPr>
            <w:tcW w:w="1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-1696,00 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-14,73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highlight w:val="lightGray"/>
                <w:lang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vAlign w:val="bottom"/>
          </w:tcPr>
          <w:p>
            <w:pPr>
              <w:textAlignment w:val="bottom"/>
              <w:rPr>
                <w:rFonts w:eastAsia="SimSun"/>
                <w:color w:val="000000"/>
                <w:sz w:val="21"/>
                <w:szCs w:val="21"/>
                <w:highlight w:val="lightGray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Задолженность и перерасчеты</w:t>
            </w:r>
          </w:p>
        </w:tc>
        <w:tc>
          <w:tcPr>
            <w:tcW w:w="1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rFonts w:eastAsia="SimSun"/>
                <w:color w:val="000000"/>
                <w:sz w:val="21"/>
                <w:szCs w:val="21"/>
                <w:highlight w:val="lightGray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0,00 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rFonts w:eastAsia="SimSun"/>
                <w:color w:val="000000"/>
                <w:sz w:val="21"/>
                <w:szCs w:val="21"/>
                <w:highlight w:val="lightGray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14,50 </w:t>
            </w:r>
          </w:p>
        </w:tc>
        <w:tc>
          <w:tcPr>
            <w:tcW w:w="1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rFonts w:eastAsia="SimSun"/>
                <w:color w:val="000000"/>
                <w:sz w:val="21"/>
                <w:szCs w:val="21"/>
                <w:highlight w:val="lightGray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14,50 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 w:themeFillTint="32"/>
            <w:noWrap/>
            <w:vAlign w:val="bottom"/>
          </w:tcPr>
          <w:p>
            <w:pPr>
              <w:jc w:val="center"/>
              <w:textAlignment w:val="bottom"/>
              <w:rPr>
                <w:rFonts w:eastAsia="SimSun"/>
                <w:color w:val="000000"/>
                <w:sz w:val="21"/>
                <w:szCs w:val="21"/>
                <w:highlight w:val="lightGray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х</w:t>
            </w:r>
          </w:p>
        </w:tc>
      </w:tr>
      <w:tr>
        <w:tblPrEx>
          <w:shd w:val="clear" w:color="auto" w:fill="F2DCDC" w:themeFill="accen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C" w:themeFill="accent2" w:themeFillTint="32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C" w:themeFill="accent2" w:themeFillTint="32"/>
            <w:noWrap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ИТОГО</w:t>
            </w:r>
          </w:p>
        </w:tc>
        <w:tc>
          <w:tcPr>
            <w:tcW w:w="17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C" w:themeFill="accent2" w:themeFillTint="32"/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423426,61 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C" w:themeFill="accent2" w:themeFillTint="32"/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438253,26 </w:t>
            </w:r>
          </w:p>
        </w:tc>
        <w:tc>
          <w:tcPr>
            <w:tcW w:w="1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C" w:themeFill="accent2" w:themeFillTint="32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14826,65 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C" w:themeFill="accent2" w:themeFillTint="32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  <w:highlight w:val="lightGray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3,50 </w:t>
            </w:r>
          </w:p>
        </w:tc>
      </w:tr>
    </w:tbl>
    <w:p>
      <w:pPr>
        <w:tabs>
          <w:tab w:val="left" w:pos="284"/>
          <w:tab w:val="left" w:pos="1134"/>
        </w:tabs>
        <w:ind w:left="709"/>
        <w:jc w:val="both"/>
        <w:rPr>
          <w:sz w:val="22"/>
          <w:szCs w:val="22"/>
          <w:highlight w:val="lightGray"/>
          <w:lang w:eastAsia="ar-SA"/>
        </w:rPr>
      </w:pPr>
    </w:p>
    <w:p>
      <w:pPr>
        <w:pStyle w:val="22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Проектом бюджета предусмотрено уменьшение неналоговых доходов </w:t>
      </w:r>
      <w:r>
        <w:t xml:space="preserve">на </w:t>
      </w:r>
      <w:r>
        <w:rPr>
          <w:lang w:eastAsia="ar-SA"/>
        </w:rPr>
        <w:t xml:space="preserve">общую сумму 22332,64 тыс. руб. или на 18,37% в соответствии с прогнозным планом </w:t>
      </w:r>
      <w:r>
        <w:t>поступлений главных администраторов доходов бюджета</w:t>
      </w:r>
      <w:r>
        <w:rPr>
          <w:lang w:eastAsia="ar-SA"/>
        </w:rPr>
        <w:t>:</w:t>
      </w:r>
    </w:p>
    <w:p>
      <w:pPr>
        <w:pStyle w:val="22"/>
        <w:tabs>
          <w:tab w:val="left" w:pos="284"/>
          <w:tab w:val="left" w:pos="1134"/>
        </w:tabs>
        <w:ind w:left="709"/>
        <w:jc w:val="right"/>
        <w:rPr>
          <w:lang w:eastAsia="ar-SA"/>
        </w:rPr>
      </w:pPr>
      <w:r>
        <w:rPr>
          <w:lang w:eastAsia="ar-SA"/>
        </w:rPr>
        <w:t>Таблица №8 (тыс. руб.)</w:t>
      </w:r>
    </w:p>
    <w:tbl>
      <w:tblPr>
        <w:tblStyle w:val="5"/>
        <w:tblW w:w="912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928"/>
        <w:gridCol w:w="1515"/>
        <w:gridCol w:w="1492"/>
        <w:gridCol w:w="1455"/>
        <w:gridCol w:w="1286"/>
      </w:tblGrid>
      <w:tr>
        <w:trPr>
          <w:trHeight w:val="767" w:hRule="atLeast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№</w:t>
            </w:r>
          </w:p>
        </w:tc>
        <w:tc>
          <w:tcPr>
            <w:tcW w:w="2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Наименование показателя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Утверждённые бюджетные назначения </w:t>
            </w:r>
          </w:p>
        </w:tc>
        <w:tc>
          <w:tcPr>
            <w:tcW w:w="1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Уточнённый прогноз на 2023 год (проект)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Сумма уточнения (гр.4-гр.3)</w:t>
            </w:r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Изменение, % (гр 5/гр3*100)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25 073,65</w:t>
            </w:r>
          </w:p>
        </w:tc>
        <w:tc>
          <w:tcPr>
            <w:tcW w:w="1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27 745,97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2 672,32</w:t>
            </w:r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10,66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Платежи при пользовании природными ресурсами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485,44</w:t>
            </w:r>
          </w:p>
        </w:tc>
        <w:tc>
          <w:tcPr>
            <w:tcW w:w="1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489,77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4,33</w:t>
            </w:r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69 921,55</w:t>
            </w:r>
          </w:p>
        </w:tc>
        <w:tc>
          <w:tcPr>
            <w:tcW w:w="1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59 384,14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-10 537,41</w:t>
            </w:r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- 15,07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Доходы от продажи материальных и нематериальных активов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22 107,73</w:t>
            </w:r>
          </w:p>
        </w:tc>
        <w:tc>
          <w:tcPr>
            <w:tcW w:w="1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7 512,23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-14 595,50</w:t>
            </w:r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- 66,02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Штрафы, санкции, возмещение ущерба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3 934,25</w:t>
            </w:r>
          </w:p>
        </w:tc>
        <w:tc>
          <w:tcPr>
            <w:tcW w:w="1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4 005,62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71,36</w:t>
            </w:r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1,81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Прочие неналоговые доходы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51,75</w:t>
            </w:r>
          </w:p>
        </w:tc>
        <w:tc>
          <w:tcPr>
            <w:tcW w:w="1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104,00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52,25</w:t>
            </w:r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100,97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Итого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121 574,37</w:t>
            </w:r>
          </w:p>
        </w:tc>
        <w:tc>
          <w:tcPr>
            <w:tcW w:w="1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99 241,73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-22 332,64</w:t>
            </w:r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- 18,37</w:t>
            </w:r>
          </w:p>
        </w:tc>
      </w:tr>
    </w:tbl>
    <w:p>
      <w:pPr>
        <w:tabs>
          <w:tab w:val="left" w:pos="284"/>
          <w:tab w:val="left" w:pos="1134"/>
        </w:tabs>
        <w:jc w:val="both"/>
        <w:rPr>
          <w:sz w:val="24"/>
          <w:szCs w:val="24"/>
          <w:highlight w:val="lightGray"/>
          <w:lang w:eastAsia="ar-SA"/>
        </w:rPr>
      </w:pPr>
    </w:p>
    <w:p>
      <w:pPr>
        <w:pStyle w:val="22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lang w:eastAsia="ar-SA"/>
        </w:rPr>
      </w:pPr>
      <w:r>
        <w:rPr>
          <w:lang w:eastAsia="ar-SA"/>
        </w:rPr>
        <w:t>Проектом бюджета предусмотрено увеличение безвозмездных поступлений на 432652,14 тыс. руб. или на 34,09% в соответствии с Законом Астраханской области от 15.12.2022 N 93/2022-ОЗ "О бюджете Астраханской области на 2023 год и на плановый период 2024 и 2025 годов" (ред.от 10.11.2023), приложениями №13,14,14.1,14</w:t>
      </w:r>
      <w:r>
        <w:rPr>
          <w:rFonts w:hint="default"/>
          <w:lang w:val="ru-RU" w:eastAsia="ar-SA"/>
        </w:rPr>
        <w:t>.</w:t>
      </w:r>
      <w:r>
        <w:rPr>
          <w:lang w:eastAsia="ar-SA"/>
        </w:rPr>
        <w:t>2,17,18,27,31, уведомлениями Министерства финансов Астраханской области о предоставлении субсидии, субвенции, иного межбюджетного трансферта, имеющего целевое назначение на 2023 год и плановый период 2024 и 2025 годов от 01.12.2023 г. №5157/1, 5167/1:</w:t>
      </w:r>
    </w:p>
    <w:p>
      <w:pPr>
        <w:tabs>
          <w:tab w:val="left" w:pos="284"/>
          <w:tab w:val="left" w:pos="1134"/>
        </w:tabs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Таблица №9 (тыс. руб.)</w:t>
      </w:r>
    </w:p>
    <w:tbl>
      <w:tblPr>
        <w:tblStyle w:val="5"/>
        <w:tblW w:w="913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397"/>
        <w:gridCol w:w="1552"/>
        <w:gridCol w:w="1530"/>
        <w:gridCol w:w="1208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№</w:t>
            </w:r>
          </w:p>
        </w:tc>
        <w:tc>
          <w:tcPr>
            <w:tcW w:w="3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Наименование показателя</w:t>
            </w:r>
          </w:p>
        </w:tc>
        <w:tc>
          <w:tcPr>
            <w:tcW w:w="1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Утверждённые бюджетные назначения 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Уточнённый прогноз на 2023 год (проект)</w:t>
            </w:r>
          </w:p>
        </w:tc>
        <w:tc>
          <w:tcPr>
            <w:tcW w:w="1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Сумма уточнения (гр.4-гр.3)</w:t>
            </w:r>
          </w:p>
        </w:tc>
        <w:tc>
          <w:tcPr>
            <w:tcW w:w="1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Изменение, % (гр 5/гр3*100)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Дотации</w:t>
            </w:r>
          </w:p>
        </w:tc>
        <w:tc>
          <w:tcPr>
            <w:tcW w:w="1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53 778,88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53 778,88</w:t>
            </w:r>
          </w:p>
        </w:tc>
        <w:tc>
          <w:tcPr>
            <w:tcW w:w="1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1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Субсидии</w:t>
            </w:r>
          </w:p>
        </w:tc>
        <w:tc>
          <w:tcPr>
            <w:tcW w:w="1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124 694,20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627 480,35</w:t>
            </w:r>
          </w:p>
        </w:tc>
        <w:tc>
          <w:tcPr>
            <w:tcW w:w="1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502 786,15</w:t>
            </w:r>
          </w:p>
        </w:tc>
        <w:tc>
          <w:tcPr>
            <w:tcW w:w="1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403,22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Субвенции</w:t>
            </w:r>
          </w:p>
        </w:tc>
        <w:tc>
          <w:tcPr>
            <w:tcW w:w="1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896 079,35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907 697,73</w:t>
            </w:r>
          </w:p>
        </w:tc>
        <w:tc>
          <w:tcPr>
            <w:tcW w:w="1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11 618,38</w:t>
            </w:r>
          </w:p>
        </w:tc>
        <w:tc>
          <w:tcPr>
            <w:tcW w:w="1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1,30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192 469,41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110 579,27</w:t>
            </w:r>
          </w:p>
        </w:tc>
        <w:tc>
          <w:tcPr>
            <w:tcW w:w="1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-81 890,14</w:t>
            </w:r>
          </w:p>
        </w:tc>
        <w:tc>
          <w:tcPr>
            <w:tcW w:w="1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- 42,55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Прочие безвозмездные поступления</w:t>
            </w:r>
          </w:p>
        </w:tc>
        <w:tc>
          <w:tcPr>
            <w:tcW w:w="1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2 313,67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2 448,67</w:t>
            </w:r>
          </w:p>
        </w:tc>
        <w:tc>
          <w:tcPr>
            <w:tcW w:w="1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135,00</w:t>
            </w:r>
          </w:p>
        </w:tc>
        <w:tc>
          <w:tcPr>
            <w:tcW w:w="1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5,83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1 195,86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1 195,86</w:t>
            </w:r>
          </w:p>
        </w:tc>
        <w:tc>
          <w:tcPr>
            <w:tcW w:w="1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1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-1 505,00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-1 502,24</w:t>
            </w:r>
          </w:p>
        </w:tc>
        <w:tc>
          <w:tcPr>
            <w:tcW w:w="1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2,75</w:t>
            </w:r>
          </w:p>
        </w:tc>
        <w:tc>
          <w:tcPr>
            <w:tcW w:w="1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- 0,18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6D9F0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ИТОГО</w:t>
            </w:r>
          </w:p>
        </w:tc>
        <w:tc>
          <w:tcPr>
            <w:tcW w:w="1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SimSun"/>
                <w:b/>
                <w:bCs/>
                <w:color w:val="000000"/>
                <w:sz w:val="21"/>
                <w:szCs w:val="21"/>
                <w:lang w:val="en-US" w:eastAsia="zh-CN" w:bidi="ar"/>
              </w:rPr>
              <w:t>1269 026,38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SimSun"/>
                <w:b/>
                <w:bCs/>
                <w:color w:val="000000"/>
                <w:sz w:val="21"/>
                <w:szCs w:val="21"/>
                <w:lang w:val="en-US" w:eastAsia="zh-CN" w:bidi="ar"/>
              </w:rPr>
              <w:t>1701 678,52</w:t>
            </w:r>
          </w:p>
        </w:tc>
        <w:tc>
          <w:tcPr>
            <w:tcW w:w="1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jc w:val="center"/>
              <w:textAlignment w:val="bottom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SimSun"/>
                <w:b/>
                <w:bCs/>
                <w:color w:val="000000"/>
                <w:sz w:val="21"/>
                <w:szCs w:val="21"/>
                <w:lang w:val="en-US" w:eastAsia="zh-CN" w:bidi="ar"/>
              </w:rPr>
              <w:t>432 652,14</w:t>
            </w:r>
          </w:p>
        </w:tc>
        <w:tc>
          <w:tcPr>
            <w:tcW w:w="1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b/>
                <w:bCs/>
                <w:color w:val="000000"/>
                <w:sz w:val="21"/>
                <w:szCs w:val="21"/>
                <w:lang w:val="en-US" w:eastAsia="zh-CN" w:bidi="ar"/>
              </w:rPr>
              <w:t xml:space="preserve"> 34,09</w:t>
            </w:r>
          </w:p>
        </w:tc>
      </w:tr>
    </w:tbl>
    <w:p>
      <w:pPr>
        <w:suppressAutoHyphens/>
        <w:ind w:firstLine="567"/>
        <w:jc w:val="both"/>
        <w:rPr>
          <w:bCs/>
          <w:sz w:val="22"/>
          <w:szCs w:val="22"/>
          <w:highlight w:val="lightGray"/>
          <w:shd w:val="clear" w:color="auto" w:fill="FFFFFF"/>
          <w:lang w:val="en-US"/>
        </w:rPr>
      </w:pPr>
    </w:p>
    <w:p>
      <w:pPr>
        <w:numPr>
          <w:ilvl w:val="1"/>
          <w:numId w:val="2"/>
        </w:numPr>
        <w:suppressAutoHyphens/>
        <w:ind w:left="0" w:firstLine="0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Доходная часть бюджета МО «Ахтубинский район» на </w:t>
      </w:r>
      <w:r>
        <w:rPr>
          <w:b/>
          <w:bCs/>
          <w:sz w:val="24"/>
          <w:szCs w:val="24"/>
          <w:shd w:val="clear" w:color="auto" w:fill="FFFFFF"/>
        </w:rPr>
        <w:t>2024</w:t>
      </w:r>
      <w:r>
        <w:rPr>
          <w:bCs/>
          <w:sz w:val="24"/>
          <w:szCs w:val="24"/>
          <w:shd w:val="clear" w:color="auto" w:fill="FFFFFF"/>
        </w:rPr>
        <w:t xml:space="preserve"> г. уменьшена на общую сумму 85070,38 тыс. руб. и составила 1468309,09 тыс. руб. в соответствии с </w:t>
      </w:r>
      <w:r>
        <w:rPr>
          <w:sz w:val="24"/>
          <w:szCs w:val="24"/>
          <w:lang w:eastAsia="ar-SA"/>
        </w:rPr>
        <w:t>Законом Астраханской области от 15.12.2022 N 93/2022-ОЗ "О бюджете Астраханской области на 2023 год и на плановый период 2024 и 2025 годов" (ред.от 10.11.2023) (приложение №33).</w:t>
      </w:r>
    </w:p>
    <w:p>
      <w:pPr>
        <w:suppressAutoHyphens/>
        <w:ind w:firstLine="567"/>
        <w:jc w:val="both"/>
        <w:rPr>
          <w:bCs/>
          <w:sz w:val="24"/>
          <w:szCs w:val="24"/>
          <w:shd w:val="clear" w:color="auto" w:fill="FFFFFF"/>
        </w:rPr>
      </w:pPr>
    </w:p>
    <w:p>
      <w:pPr>
        <w:suppressAutoHyphens/>
        <w:ind w:firstLine="708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Доходная часть бюджета МО «Ахтубинский район» на </w:t>
      </w:r>
      <w:r>
        <w:rPr>
          <w:b/>
          <w:sz w:val="24"/>
          <w:szCs w:val="24"/>
          <w:shd w:val="clear" w:color="auto" w:fill="FFFFFF"/>
        </w:rPr>
        <w:t>2025 г.</w:t>
      </w:r>
      <w:r>
        <w:rPr>
          <w:bCs/>
          <w:sz w:val="24"/>
          <w:szCs w:val="24"/>
          <w:shd w:val="clear" w:color="auto" w:fill="FFFFFF"/>
        </w:rPr>
        <w:t xml:space="preserve"> не изменилась и составила 1394967,92 тыс. руб.</w:t>
      </w:r>
    </w:p>
    <w:p>
      <w:pPr>
        <w:suppressAutoHyphens/>
        <w:ind w:firstLine="708"/>
        <w:jc w:val="both"/>
        <w:rPr>
          <w:sz w:val="24"/>
          <w:szCs w:val="24"/>
          <w:lang w:eastAsia="ar-SA"/>
        </w:rPr>
      </w:pPr>
    </w:p>
    <w:p>
      <w:pPr>
        <w:pStyle w:val="22"/>
        <w:numPr>
          <w:ilvl w:val="0"/>
          <w:numId w:val="2"/>
        </w:numPr>
        <w:jc w:val="center"/>
        <w:rPr>
          <w:b/>
          <w:bCs/>
          <w:shd w:val="clear" w:color="auto" w:fill="FFFFFF"/>
          <w:lang w:eastAsia="ar-SA"/>
        </w:rPr>
      </w:pPr>
      <w:r>
        <w:rPr>
          <w:b/>
          <w:bCs/>
          <w:shd w:val="clear" w:color="auto" w:fill="FFFFFF"/>
          <w:lang w:eastAsia="ar-SA"/>
        </w:rPr>
        <w:t>Расходная часть бюджета.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Решения предусмотрено увеличение общего объёма расходов бюджета на 425146,15 тыс. руб., за счёт изменения безвозмездных поступлений из областного бюджета, прогноза поступлений собственных доходов, а также перераспределение бюджетных ассигнований бюджета на 2023 год по предложениям исполнителей муниципальных программ и главных распорядителей средств бюджета муниципального образования.</w:t>
      </w:r>
    </w:p>
    <w:p>
      <w:pPr>
        <w:pStyle w:val="22"/>
        <w:tabs>
          <w:tab w:val="left" w:pos="709"/>
          <w:tab w:val="left" w:pos="851"/>
        </w:tabs>
        <w:ind w:left="0" w:firstLine="709"/>
        <w:jc w:val="both"/>
      </w:pPr>
      <w:r>
        <w:t>Предлагаемые изменения, бюджетных ассигнований по разделам, функциональной классификации расходов бюджета на 2023 год:</w:t>
      </w:r>
    </w:p>
    <w:p>
      <w:pPr>
        <w:pStyle w:val="22"/>
        <w:tabs>
          <w:tab w:val="left" w:pos="709"/>
          <w:tab w:val="left" w:pos="851"/>
        </w:tabs>
        <w:wordWrap w:val="0"/>
        <w:ind w:left="426"/>
        <w:jc w:val="right"/>
      </w:pPr>
      <w:r>
        <w:t>Таблица №10 (тыс. руб.)</w:t>
      </w:r>
    </w:p>
    <w:tbl>
      <w:tblPr>
        <w:tblStyle w:val="5"/>
        <w:tblW w:w="9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966"/>
        <w:gridCol w:w="1384"/>
        <w:gridCol w:w="1358"/>
        <w:gridCol w:w="1267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3031" w:type="dxa"/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Наименование</w:t>
            </w:r>
          </w:p>
        </w:tc>
        <w:tc>
          <w:tcPr>
            <w:tcW w:w="966" w:type="dxa"/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Раздел</w:t>
            </w:r>
          </w:p>
        </w:tc>
        <w:tc>
          <w:tcPr>
            <w:tcW w:w="1384" w:type="dxa"/>
            <w:shd w:val="clear" w:color="auto" w:fill="FFFFFF"/>
            <w:noWrap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Утверждённые назначения </w:t>
            </w:r>
          </w:p>
        </w:tc>
        <w:tc>
          <w:tcPr>
            <w:tcW w:w="1358" w:type="dxa"/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Уточнённый прогноз на 2023 год (проект)</w:t>
            </w:r>
          </w:p>
        </w:tc>
        <w:tc>
          <w:tcPr>
            <w:tcW w:w="1267" w:type="dxa"/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Сумма уточнения</w:t>
            </w: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(гр.4-гр.3)</w:t>
            </w:r>
          </w:p>
        </w:tc>
        <w:tc>
          <w:tcPr>
            <w:tcW w:w="1200" w:type="dxa"/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Изменение, % (гр 5/гр3*100)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О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бщегосударственные вопросы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0100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110 850,31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105 812,00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-5 038,31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Н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ациональная оборона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0200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164,70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305,70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141,00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85,6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Национальная безопасность и правоохранительная деятельность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0300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761,79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661,79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- 100,00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-13,1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Н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ациональная экономика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0400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184 877,61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178 654,63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-6 222,98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Ж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илищно-коммунальное хозяйство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0500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209 573,98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626 617,96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417 043,98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199,0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О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храна окружающей среды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0600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1 468,79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2 461,05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992,26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О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бразование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0700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1163 173,32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1183 120,67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19 947,35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К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ультура, кинематография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0800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69 993,39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70 665,06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671,66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С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оциальная политика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18 207,55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15 207,55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-3 000,00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Ф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изическая культура и спорт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1100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956,69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2 107,36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1 150,68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120,3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С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редства массовой информации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1200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1 109,70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1 109,70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Обслуживание государственного и муниципального долга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1300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43,02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43,02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1400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67 566,28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67 126,78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- 439,50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noWrap/>
            <w:vAlign w:val="center"/>
          </w:tcPr>
          <w:p>
            <w:pPr>
              <w:jc w:val="both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ИТОГО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1828 747,13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2253 893,27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425 146,15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23,2</w:t>
            </w:r>
          </w:p>
        </w:tc>
      </w:tr>
    </w:tbl>
    <w:p>
      <w:pPr>
        <w:rPr>
          <w:sz w:val="24"/>
          <w:szCs w:val="24"/>
          <w:highlight w:val="lightGray"/>
        </w:rPr>
      </w:pPr>
    </w:p>
    <w:p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Проектом Решения предусмотрено уменьшение бюджетных ассигнований на 2023 год по 5 направлениям</w:t>
      </w:r>
      <w:r>
        <w:rPr>
          <w:sz w:val="24"/>
          <w:szCs w:val="24"/>
          <w:lang w:eastAsia="zh-CN"/>
        </w:rPr>
        <w:t xml:space="preserve"> на общую сумму 14800,79 тыс. руб. и </w:t>
      </w:r>
      <w:r>
        <w:rPr>
          <w:sz w:val="24"/>
          <w:szCs w:val="24"/>
        </w:rPr>
        <w:t>увеличение бюджетных ассигнований по 6-ти направлениям на общую сумму 439946,94 тыс. руб. По 2-м направлениям изменений не произошло.</w:t>
      </w:r>
    </w:p>
    <w:p>
      <w:pPr>
        <w:ind w:firstLine="567"/>
        <w:jc w:val="both"/>
        <w:rPr>
          <w:sz w:val="24"/>
          <w:szCs w:val="24"/>
          <w:highlight w:val="lightGray"/>
        </w:rPr>
      </w:pPr>
    </w:p>
    <w:p>
      <w:pPr>
        <w:pStyle w:val="22"/>
        <w:numPr>
          <w:ilvl w:val="1"/>
          <w:numId w:val="2"/>
        </w:numPr>
        <w:tabs>
          <w:tab w:val="left" w:pos="567"/>
        </w:tabs>
        <w:jc w:val="both"/>
        <w:rPr>
          <w:b/>
        </w:rPr>
      </w:pPr>
      <w:r>
        <w:rPr>
          <w:b/>
        </w:rPr>
        <w:t>Предлагаемые изменения, бюджетных ассигнований по подразделам, функциональной классификации расходов бюджета на 2023 год:</w:t>
      </w:r>
    </w:p>
    <w:p>
      <w:pPr>
        <w:pStyle w:val="22"/>
        <w:ind w:left="450"/>
        <w:jc w:val="center"/>
        <w:rPr>
          <w:b/>
          <w:color w:val="000000"/>
        </w:rPr>
      </w:pPr>
      <w:r>
        <w:rPr>
          <w:b/>
          <w:color w:val="000000"/>
        </w:rPr>
        <w:t>Общегосударственные вопросы</w:t>
      </w:r>
    </w:p>
    <w:p>
      <w:pPr>
        <w:pStyle w:val="22"/>
        <w:ind w:left="0" w:firstLine="567"/>
        <w:jc w:val="both"/>
        <w:rPr>
          <w:color w:val="000000"/>
        </w:rPr>
      </w:pPr>
      <w:r>
        <w:rPr>
          <w:color w:val="000000"/>
        </w:rPr>
        <w:t>Предлагаемые изменения бюджетных ассигнований по подразделу «Общегосударственные вопросы» составляют (-5038,31) тыс. руб. или, в том числе:</w:t>
      </w:r>
    </w:p>
    <w:p>
      <w:pPr>
        <w:pStyle w:val="22"/>
        <w:ind w:left="450"/>
        <w:jc w:val="right"/>
        <w:rPr>
          <w:color w:val="000000"/>
        </w:rPr>
      </w:pPr>
      <w:r>
        <w:rPr>
          <w:color w:val="000000"/>
        </w:rPr>
        <w:t xml:space="preserve">Таблица №11 </w:t>
      </w:r>
      <w:r>
        <w:t xml:space="preserve">(тыс. руб.) </w:t>
      </w:r>
    </w:p>
    <w:tbl>
      <w:tblPr>
        <w:tblStyle w:val="5"/>
        <w:tblW w:w="91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968"/>
        <w:gridCol w:w="1162"/>
        <w:gridCol w:w="1328"/>
        <w:gridCol w:w="1065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03" w:type="dxa"/>
            <w:shd w:val="clear" w:color="auto" w:fill="auto"/>
            <w:noWrap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68" w:type="dxa"/>
            <w:shd w:val="clear" w:color="auto" w:fill="auto"/>
            <w:noWrap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Раздел</w:t>
            </w:r>
          </w:p>
        </w:tc>
        <w:tc>
          <w:tcPr>
            <w:tcW w:w="1162" w:type="dxa"/>
            <w:shd w:val="clear" w:color="auto" w:fill="auto"/>
            <w:noWrap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Утверждённый прогноз </w:t>
            </w:r>
          </w:p>
        </w:tc>
        <w:tc>
          <w:tcPr>
            <w:tcW w:w="1328" w:type="dxa"/>
            <w:shd w:val="clear" w:color="auto" w:fill="auto"/>
            <w:noWrap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Уточнённый прогноз на 2023 год</w:t>
            </w:r>
          </w:p>
        </w:tc>
        <w:tc>
          <w:tcPr>
            <w:tcW w:w="1065" w:type="dxa"/>
            <w:shd w:val="clear" w:color="auto" w:fill="auto"/>
            <w:noWrap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Изменение (гр.4-гр.3)</w:t>
            </w:r>
          </w:p>
        </w:tc>
        <w:tc>
          <w:tcPr>
            <w:tcW w:w="2478" w:type="dxa"/>
            <w:shd w:val="clear" w:color="auto" w:fill="auto"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Пояснение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03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0102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1 552,82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1 650,56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97,73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Увеличение размера оклада до 69278 рублей с 01.10.2023 г., увеличение надбавки за работу со сведениями «Секретно»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2103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0103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2 179,32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2 222,98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43,66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Увеличение ФОТ Совета МО «Ахтубинский район» с 01.10.2023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103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0104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31 631,12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33 365,65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1 734,54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Увеличение ФОТ на 987,38 тыс. руб., расходов на закупку товаров и услуг 675,9 тыс. руб., иные бюджетные ассигнования 71,2 тыс.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03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Судебная система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0105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2,00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2,00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103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0106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19 888,45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15 651,65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-4 236,80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Уменьшение зарезервированных средств в рамках непрограммных мероприятий 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03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Резервные фонды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0111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1 835,30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429,63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-1 405,67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Уменьшение резервного фонда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103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Другие общегосударственные вопросы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0113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53 761,30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52 489,53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-1 271,77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Уменьшение финансирования: 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МКУ «УХТО» на 8,8 тыс. руб.,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Празднование дня района на 30,0 тыс. руб. МКУ «УИЗО» на общую сумму 343,7тыс. руб., иные непрограммные мероприятия 949,3 тыс. руб.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Увеличение финансирования: 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бухгалтерии управления культуры на 60,00 тыс.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3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ИТОГО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110 850,31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105 812,00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-5 038,31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pStyle w:val="22"/>
        <w:ind w:left="450"/>
        <w:jc w:val="right"/>
        <w:rPr>
          <w:color w:val="000000"/>
          <w:sz w:val="22"/>
          <w:szCs w:val="22"/>
          <w:highlight w:val="lightGray"/>
        </w:rPr>
      </w:pPr>
    </w:p>
    <w:p>
      <w:pPr>
        <w:pStyle w:val="22"/>
        <w:ind w:left="450"/>
        <w:jc w:val="center"/>
        <w:rPr>
          <w:rFonts w:eastAsia="SimSun"/>
          <w:b/>
          <w:bCs/>
          <w:color w:val="000000"/>
          <w:lang w:val="en-US" w:eastAsia="zh-CN" w:bidi="ar"/>
        </w:rPr>
      </w:pPr>
      <w:r>
        <w:rPr>
          <w:rFonts w:eastAsia="SimSun"/>
          <w:b/>
          <w:bCs/>
          <w:color w:val="000000"/>
          <w:lang w:eastAsia="zh-CN" w:bidi="ar"/>
        </w:rPr>
        <w:t>Н</w:t>
      </w:r>
      <w:r>
        <w:rPr>
          <w:rFonts w:eastAsia="SimSun"/>
          <w:b/>
          <w:bCs/>
          <w:color w:val="000000"/>
          <w:lang w:val="en-US" w:eastAsia="zh-CN" w:bidi="ar"/>
        </w:rPr>
        <w:t>ациональная оборона</w:t>
      </w:r>
    </w:p>
    <w:p>
      <w:pPr>
        <w:pStyle w:val="22"/>
        <w:ind w:left="0" w:firstLine="567"/>
        <w:jc w:val="both"/>
        <w:rPr>
          <w:color w:val="000000"/>
        </w:rPr>
      </w:pPr>
      <w:r>
        <w:rPr>
          <w:color w:val="000000"/>
        </w:rPr>
        <w:t>Предлагаемые изменения бюджетных ассигнований по подразделу «Национальная оборона» составляют (+141,0) тыс. рублей, в том числе:</w:t>
      </w:r>
    </w:p>
    <w:p>
      <w:pPr>
        <w:pStyle w:val="22"/>
        <w:ind w:left="450"/>
        <w:jc w:val="right"/>
        <w:rPr>
          <w:color w:val="000000"/>
        </w:rPr>
      </w:pPr>
      <w:r>
        <w:rPr>
          <w:color w:val="000000"/>
        </w:rPr>
        <w:t>Таблица №12 (тыс. руб.)</w:t>
      </w:r>
    </w:p>
    <w:tbl>
      <w:tblPr>
        <w:tblStyle w:val="5"/>
        <w:tblW w:w="91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908"/>
        <w:gridCol w:w="1367"/>
        <w:gridCol w:w="1067"/>
        <w:gridCol w:w="1141"/>
        <w:gridCol w:w="2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Наименование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Раздел</w:t>
            </w:r>
          </w:p>
        </w:tc>
        <w:tc>
          <w:tcPr>
            <w:tcW w:w="1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Утверждённый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прогноз </w:t>
            </w: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Уточнённый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прогноз на 2023 год</w:t>
            </w: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Изменение (гр.4-гр.3)</w:t>
            </w:r>
          </w:p>
        </w:tc>
        <w:tc>
          <w:tcPr>
            <w:tcW w:w="2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Пояснение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Мобилизационная и вневойсковая подготовка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0203</w:t>
            </w:r>
          </w:p>
        </w:tc>
        <w:tc>
          <w:tcPr>
            <w:tcW w:w="1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164,7</w:t>
            </w: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305,7</w:t>
            </w: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141</w:t>
            </w: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,0</w:t>
            </w:r>
          </w:p>
        </w:tc>
        <w:tc>
          <w:tcPr>
            <w:tcW w:w="2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Увеличены расходы на закупку товаров, работ и услуг</w:t>
            </w:r>
          </w:p>
        </w:tc>
      </w:tr>
    </w:tbl>
    <w:p>
      <w:pPr>
        <w:pStyle w:val="22"/>
        <w:ind w:left="450"/>
        <w:jc w:val="right"/>
        <w:rPr>
          <w:color w:val="000000"/>
          <w:sz w:val="22"/>
          <w:szCs w:val="22"/>
          <w:highlight w:val="lightGray"/>
        </w:rPr>
      </w:pPr>
    </w:p>
    <w:p>
      <w:pPr>
        <w:pStyle w:val="22"/>
        <w:ind w:left="0" w:firstLine="567"/>
        <w:jc w:val="center"/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>Национальная безопасность и правоохранительная деятельность</w:t>
      </w:r>
    </w:p>
    <w:p>
      <w:pPr>
        <w:pStyle w:val="22"/>
        <w:ind w:left="0" w:firstLine="567"/>
        <w:jc w:val="both"/>
        <w:rPr>
          <w:color w:val="000000"/>
        </w:rPr>
      </w:pPr>
      <w:r>
        <w:rPr>
          <w:color w:val="000000"/>
        </w:rPr>
        <w:t>Предлагаемые изменения бюджетных ассигнований по подразделу «Национальная безопасность правоохранительная деятельность» составляют (-100,0) тыс. рублей, в том числе:</w:t>
      </w:r>
    </w:p>
    <w:p>
      <w:pPr>
        <w:pStyle w:val="22"/>
        <w:ind w:left="450"/>
        <w:jc w:val="right"/>
        <w:rPr>
          <w:color w:val="000000"/>
        </w:rPr>
      </w:pPr>
      <w:r>
        <w:rPr>
          <w:color w:val="000000"/>
        </w:rPr>
        <w:t>Таблица №13 (тыс. руб.)</w:t>
      </w:r>
    </w:p>
    <w:tbl>
      <w:tblPr>
        <w:tblStyle w:val="5"/>
        <w:tblW w:w="91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908"/>
        <w:gridCol w:w="1367"/>
        <w:gridCol w:w="1067"/>
        <w:gridCol w:w="1141"/>
        <w:gridCol w:w="2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Наименование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Раздел</w:t>
            </w:r>
          </w:p>
        </w:tc>
        <w:tc>
          <w:tcPr>
            <w:tcW w:w="1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Утверждённый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прогноз </w:t>
            </w: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Уточнённый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прогноз на 2023 год</w:t>
            </w: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Изменение (гр.4-гр.3)</w:t>
            </w:r>
          </w:p>
        </w:tc>
        <w:tc>
          <w:tcPr>
            <w:tcW w:w="2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Пояснение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Гражданская оборона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0309</w:t>
            </w:r>
          </w:p>
        </w:tc>
        <w:tc>
          <w:tcPr>
            <w:tcW w:w="1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361,79 </w:t>
            </w: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361,79 </w:t>
            </w: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0310</w:t>
            </w:r>
          </w:p>
        </w:tc>
        <w:tc>
          <w:tcPr>
            <w:tcW w:w="1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400,00 </w:t>
            </w: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300,00 </w:t>
            </w: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-100</w:t>
            </w:r>
          </w:p>
        </w:tc>
        <w:tc>
          <w:tcPr>
            <w:tcW w:w="2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Уменьшение финансирования первичных мер пожарной безопасности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ИТОГО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761,79 </w:t>
            </w: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661,79 </w:t>
            </w: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-100</w:t>
            </w:r>
          </w:p>
        </w:tc>
        <w:tc>
          <w:tcPr>
            <w:tcW w:w="2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22"/>
        <w:ind w:left="0" w:firstLine="567"/>
        <w:jc w:val="center"/>
        <w:rPr>
          <w:rFonts w:eastAsia="SimSun"/>
          <w:b/>
          <w:bCs/>
          <w:color w:val="000000"/>
          <w:highlight w:val="lightGray"/>
          <w:lang w:eastAsia="zh-CN"/>
        </w:rPr>
      </w:pPr>
    </w:p>
    <w:p>
      <w:pPr>
        <w:pStyle w:val="22"/>
        <w:ind w:left="0" w:firstLine="567"/>
        <w:jc w:val="center"/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>Национальная экономика</w:t>
      </w:r>
    </w:p>
    <w:p>
      <w:pPr>
        <w:pStyle w:val="22"/>
        <w:ind w:left="0" w:firstLine="567"/>
        <w:jc w:val="both"/>
        <w:rPr>
          <w:color w:val="000000"/>
        </w:rPr>
      </w:pPr>
      <w:r>
        <w:rPr>
          <w:color w:val="000000"/>
        </w:rPr>
        <w:t>Предлагаемые изменения бюджетных ассигнований по подразделу «Национальная экономика» составляют (-6222,98) тыс. рублей, в том числе:</w:t>
      </w:r>
    </w:p>
    <w:p>
      <w:pPr>
        <w:pStyle w:val="22"/>
        <w:ind w:left="450"/>
        <w:jc w:val="right"/>
        <w:rPr>
          <w:color w:val="000000"/>
        </w:rPr>
      </w:pPr>
      <w:r>
        <w:rPr>
          <w:color w:val="000000"/>
        </w:rPr>
        <w:t xml:space="preserve">Таблица №14 </w:t>
      </w:r>
      <w:r>
        <w:t xml:space="preserve">(тыс. руб.) </w:t>
      </w:r>
    </w:p>
    <w:tbl>
      <w:tblPr>
        <w:tblStyle w:val="5"/>
        <w:tblW w:w="91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958"/>
        <w:gridCol w:w="1296"/>
        <w:gridCol w:w="1215"/>
        <w:gridCol w:w="1170"/>
        <w:gridCol w:w="2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Наименование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Раздел</w:t>
            </w:r>
          </w:p>
        </w:tc>
        <w:tc>
          <w:tcPr>
            <w:tcW w:w="1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Утверждённый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прогноз 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Уточнённый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прогноз на 2023 год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Изменение (гр.4-гр.3)</w:t>
            </w: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Пояснение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0405</w:t>
            </w:r>
          </w:p>
        </w:tc>
        <w:tc>
          <w:tcPr>
            <w:tcW w:w="1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89 595,24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85 198,77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-4 396,46</w:t>
            </w: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Изменение размера субсидий на развитие сельского производства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0409</w:t>
            </w:r>
          </w:p>
        </w:tc>
        <w:tc>
          <w:tcPr>
            <w:tcW w:w="1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91 615,71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89 934,20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-1 681,51</w:t>
            </w: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Уточнение объёма средств дорожного фонда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0412</w:t>
            </w:r>
          </w:p>
        </w:tc>
        <w:tc>
          <w:tcPr>
            <w:tcW w:w="1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3 666,67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3 521,65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- 145,01</w:t>
            </w: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Уменьшение расходов на разработку градостроительной документации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ИТОГО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184 877,61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178 654,63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-6 222,98</w:t>
            </w: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22"/>
        <w:ind w:left="450"/>
        <w:jc w:val="center"/>
        <w:rPr>
          <w:rFonts w:eastAsia="SimSun"/>
          <w:b/>
          <w:bCs/>
          <w:color w:val="000000"/>
          <w:sz w:val="22"/>
          <w:szCs w:val="22"/>
          <w:lang w:eastAsia="zh-CN" w:bidi="ar"/>
        </w:rPr>
      </w:pPr>
    </w:p>
    <w:p>
      <w:pPr>
        <w:pStyle w:val="22"/>
        <w:ind w:left="450"/>
        <w:jc w:val="center"/>
        <w:rPr>
          <w:rFonts w:eastAsia="SimSun"/>
          <w:b/>
          <w:bCs/>
          <w:color w:val="000000"/>
          <w:lang w:val="en-US" w:eastAsia="zh-CN" w:bidi="ar"/>
        </w:rPr>
      </w:pPr>
      <w:r>
        <w:rPr>
          <w:rFonts w:eastAsia="SimSun"/>
          <w:b/>
          <w:bCs/>
          <w:color w:val="000000"/>
          <w:lang w:eastAsia="zh-CN" w:bidi="ar"/>
        </w:rPr>
        <w:t>Ж</w:t>
      </w:r>
      <w:r>
        <w:rPr>
          <w:rFonts w:eastAsia="SimSun"/>
          <w:b/>
          <w:bCs/>
          <w:color w:val="000000"/>
          <w:lang w:val="en-US" w:eastAsia="zh-CN" w:bidi="ar"/>
        </w:rPr>
        <w:t>илищно-коммунальное хозяйство</w:t>
      </w:r>
    </w:p>
    <w:p>
      <w:pPr>
        <w:pStyle w:val="22"/>
        <w:ind w:left="0" w:firstLine="567"/>
        <w:jc w:val="both"/>
        <w:rPr>
          <w:color w:val="000000"/>
        </w:rPr>
      </w:pPr>
      <w:r>
        <w:rPr>
          <w:color w:val="000000"/>
        </w:rPr>
        <w:t>Предлагаемые изменения бюджетных ассигнований по подразделу «Жилищно-коммунальное хозяйство» составляют (+417043,98) тыс. рублей, в том числе:</w:t>
      </w:r>
    </w:p>
    <w:p>
      <w:pPr>
        <w:pStyle w:val="22"/>
        <w:ind w:left="450"/>
        <w:jc w:val="right"/>
        <w:rPr>
          <w:color w:val="000000"/>
        </w:rPr>
      </w:pPr>
      <w:r>
        <w:rPr>
          <w:color w:val="000000"/>
        </w:rPr>
        <w:t xml:space="preserve">Таблица №15 </w:t>
      </w:r>
      <w:r>
        <w:t xml:space="preserve">(тыс. руб.) </w:t>
      </w:r>
    </w:p>
    <w:tbl>
      <w:tblPr>
        <w:tblStyle w:val="5"/>
        <w:tblW w:w="91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109"/>
        <w:gridCol w:w="1425"/>
        <w:gridCol w:w="1366"/>
        <w:gridCol w:w="1201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Наименование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Раздел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Утверждённый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прогноз 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Уточнённый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прогноз на 2023 год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Изменение (гр.4-гр.3)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Пояснение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Жилищное хозяйство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0501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62,64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508 160,34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508 097,70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Обеспечение мероприятий по переселению граждан из аварийного жилищного фонда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Коммунальное хозяйство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0502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204 612,93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115 650,00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-88 962,93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Уменьшение финансирования расходов на мазут на 90000,00 тыс. руб. и увеличение расходов на ремонтно-восстановительные работы по бесперебойному водоснабжению 472,4 тыс. руб., иные мероприятия 564,4 тыс.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Благоустройство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0503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4 898,41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2 807,62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-2 090,79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Уменьшение объёмов софинансирования проектов инициативного бюджетирования на закупку энергетических ресурсов на 1837,1 тыс. руб. и расходов на обеспечение безопасности на водных объектах на 253,7 тыс.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ИТОГО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209 573,98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626 617,96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417 043,98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22"/>
        <w:ind w:left="450"/>
        <w:jc w:val="center"/>
        <w:rPr>
          <w:rFonts w:eastAsia="SimSun"/>
          <w:b/>
          <w:bCs/>
          <w:color w:val="000000"/>
          <w:sz w:val="22"/>
          <w:szCs w:val="22"/>
          <w:highlight w:val="lightGray"/>
          <w:lang w:val="en-US" w:eastAsia="zh-CN" w:bidi="ar"/>
        </w:rPr>
      </w:pPr>
    </w:p>
    <w:p>
      <w:pPr>
        <w:pStyle w:val="22"/>
        <w:ind w:left="450"/>
        <w:jc w:val="center"/>
        <w:rPr>
          <w:b/>
          <w:sz w:val="22"/>
          <w:szCs w:val="22"/>
          <w:lang w:val="en-US" w:eastAsia="zh-CN"/>
        </w:rPr>
      </w:pPr>
      <w:r>
        <w:rPr>
          <w:b/>
          <w:sz w:val="22"/>
          <w:szCs w:val="22"/>
          <w:lang w:eastAsia="zh-CN"/>
        </w:rPr>
        <w:t>О</w:t>
      </w:r>
      <w:r>
        <w:rPr>
          <w:b/>
          <w:sz w:val="22"/>
          <w:szCs w:val="22"/>
          <w:lang w:val="en-US" w:eastAsia="zh-CN"/>
        </w:rPr>
        <w:t>храна окружающей среды</w:t>
      </w:r>
    </w:p>
    <w:p>
      <w:pPr>
        <w:pStyle w:val="22"/>
        <w:ind w:left="0" w:firstLine="567"/>
        <w:jc w:val="both"/>
        <w:rPr>
          <w:color w:val="000000"/>
        </w:rPr>
      </w:pPr>
      <w:r>
        <w:rPr>
          <w:color w:val="000000"/>
        </w:rPr>
        <w:t>Предлагаемые изменения бюджетных ассигнований по подразделу «Охрана окружающей среды» составляют (+992,26) тыс. рублей, в том числе:</w:t>
      </w:r>
    </w:p>
    <w:p>
      <w:pPr>
        <w:pStyle w:val="22"/>
        <w:ind w:left="450"/>
        <w:jc w:val="right"/>
        <w:rPr>
          <w:color w:val="000000"/>
        </w:rPr>
      </w:pPr>
      <w:r>
        <w:rPr>
          <w:color w:val="000000"/>
        </w:rPr>
        <w:t xml:space="preserve">Таблица №16 </w:t>
      </w:r>
      <w:r>
        <w:t xml:space="preserve">(тыс. руб.) </w:t>
      </w:r>
    </w:p>
    <w:tbl>
      <w:tblPr>
        <w:tblStyle w:val="5"/>
        <w:tblW w:w="91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958"/>
        <w:gridCol w:w="1617"/>
        <w:gridCol w:w="1258"/>
        <w:gridCol w:w="1318"/>
        <w:gridCol w:w="1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Наименование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Раздел</w:t>
            </w:r>
          </w:p>
        </w:tc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Утверждённый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прогноз </w:t>
            </w:r>
          </w:p>
        </w:tc>
        <w:tc>
          <w:tcPr>
            <w:tcW w:w="1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Уточнённый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прогноз на 2023 год</w:t>
            </w:r>
          </w:p>
        </w:tc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Изменение (гр.4-гр.3)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Пояснение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Сбор, удаление отходов и очистка сточных вод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602</w:t>
            </w:r>
          </w:p>
        </w:tc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1 468,79</w:t>
            </w:r>
          </w:p>
        </w:tc>
        <w:tc>
          <w:tcPr>
            <w:tcW w:w="1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2 461,05</w:t>
            </w:r>
          </w:p>
        </w:tc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992,26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Увеличение финансирования на исполнение судебных актов по обращению взыскания на средства бюджета</w:t>
            </w:r>
          </w:p>
        </w:tc>
      </w:tr>
    </w:tbl>
    <w:p>
      <w:pPr>
        <w:pStyle w:val="22"/>
        <w:ind w:left="450"/>
        <w:jc w:val="center"/>
        <w:rPr>
          <w:b/>
          <w:sz w:val="22"/>
          <w:szCs w:val="22"/>
          <w:lang w:eastAsia="zh-CN"/>
        </w:rPr>
      </w:pPr>
    </w:p>
    <w:p>
      <w:pPr>
        <w:autoSpaceDE w:val="0"/>
        <w:autoSpaceDN w:val="0"/>
        <w:adjustRightInd w:val="0"/>
        <w:ind w:left="57" w:right="57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Образование</w:t>
      </w:r>
    </w:p>
    <w:p>
      <w:pPr>
        <w:pStyle w:val="22"/>
        <w:ind w:left="0"/>
        <w:jc w:val="both"/>
        <w:rPr>
          <w:color w:val="000000"/>
        </w:rPr>
      </w:pPr>
      <w:r>
        <w:rPr>
          <w:color w:val="000000"/>
        </w:rPr>
        <w:t>Предлагаемые изменения бюджетных ассигнований по подразделу «Образование»</w:t>
      </w:r>
      <w:r>
        <w:t xml:space="preserve"> </w:t>
      </w:r>
      <w:r>
        <w:rPr>
          <w:color w:val="000000"/>
        </w:rPr>
        <w:t>составляют (+19947,35) тыс. рублей, в том числе:</w:t>
      </w:r>
    </w:p>
    <w:p>
      <w:pPr>
        <w:pStyle w:val="22"/>
        <w:ind w:left="0"/>
        <w:jc w:val="right"/>
        <w:rPr>
          <w:color w:val="000000"/>
        </w:rPr>
      </w:pPr>
      <w:r>
        <w:rPr>
          <w:color w:val="000000"/>
        </w:rPr>
        <w:t xml:space="preserve">Таблица №17 </w:t>
      </w:r>
      <w:r>
        <w:t xml:space="preserve">(тыс. руб.) </w:t>
      </w:r>
    </w:p>
    <w:tbl>
      <w:tblPr>
        <w:tblStyle w:val="5"/>
        <w:tblpPr w:leftFromText="180" w:rightFromText="180" w:vertAnchor="text" w:horzAnchor="page" w:tblpX="1788" w:tblpY="288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820"/>
        <w:gridCol w:w="1574"/>
        <w:gridCol w:w="1560"/>
        <w:gridCol w:w="129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Утверждённый прогноз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Уточнённый прогноз 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1620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0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Дошкольное образование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0701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403 941,30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409 486,34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5 545,04</w:t>
            </w:r>
          </w:p>
        </w:tc>
        <w:tc>
          <w:tcPr>
            <w:tcW w:w="1620" w:type="dxa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Увеличение размера субсидий и перераспределение финансирования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Общее образование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0702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559 284,51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572 083,10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12 798,59</w:t>
            </w: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Дополнительное образование детей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0703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169 737,74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171 068,27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1 330,53</w:t>
            </w: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Молодежная политика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0707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6 616,23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6 642,63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 26,39</w:t>
            </w: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Другие вопросы в области образования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0709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23 593,53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23 840,35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 246,82</w:t>
            </w: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ИТОГО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1163 173,32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1183 120,67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19 947,35</w:t>
            </w: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22"/>
        <w:ind w:left="450"/>
        <w:jc w:val="center"/>
        <w:rPr>
          <w:b/>
          <w:sz w:val="22"/>
          <w:szCs w:val="22"/>
          <w:highlight w:val="lightGray"/>
        </w:rPr>
      </w:pPr>
    </w:p>
    <w:p>
      <w:pPr>
        <w:pStyle w:val="22"/>
        <w:ind w:left="450"/>
        <w:jc w:val="center"/>
        <w:rPr>
          <w:b/>
        </w:rPr>
      </w:pPr>
      <w:r>
        <w:rPr>
          <w:b/>
        </w:rPr>
        <w:t>Культура, Кинематография</w:t>
      </w:r>
    </w:p>
    <w:p>
      <w:pPr>
        <w:pStyle w:val="22"/>
        <w:ind w:left="0"/>
        <w:jc w:val="both"/>
        <w:rPr>
          <w:color w:val="000000"/>
        </w:rPr>
      </w:pPr>
      <w:r>
        <w:rPr>
          <w:color w:val="000000"/>
        </w:rPr>
        <w:t>Предлагаемые изменения бюджетных ассигнований по подразделу «Культура, Кинематография»</w:t>
      </w:r>
      <w:r>
        <w:t xml:space="preserve"> </w:t>
      </w:r>
      <w:r>
        <w:rPr>
          <w:color w:val="000000"/>
        </w:rPr>
        <w:t>составляют (+671,66) тыс. рублей, в том числе:</w:t>
      </w:r>
    </w:p>
    <w:p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№18 (тыс. руб.) </w:t>
      </w:r>
    </w:p>
    <w:tbl>
      <w:tblPr>
        <w:tblStyle w:val="5"/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1213"/>
        <w:gridCol w:w="1513"/>
        <w:gridCol w:w="1297"/>
        <w:gridCol w:w="120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Раздел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Утверждённый прогноз 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Уточнённый прогноз 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Изменение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(гр.4-гр.3)</w:t>
            </w:r>
          </w:p>
        </w:tc>
        <w:tc>
          <w:tcPr>
            <w:tcW w:w="2018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Пояснение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018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Культура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0801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61 815,16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62 246,06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430,90</w:t>
            </w:r>
          </w:p>
        </w:tc>
        <w:tc>
          <w:tcPr>
            <w:tcW w:w="2018" w:type="dxa"/>
            <w:vMerge w:val="restart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Увеличены </w:t>
            </w:r>
            <w:r>
              <w:rPr>
                <w:sz w:val="21"/>
                <w:szCs w:val="21"/>
              </w:rPr>
              <w:t>расходы на: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МКУ «ЦНК» на 355,1 тыс. руб., 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«ХТС» на 284,7 тыс. руб., празднование дня района 30,0 тыс. руб., управления культуры 240,8 тыс. руб., иные мероприятия 161,0 тыс. руб.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Уменьшены</w:t>
            </w:r>
            <w:r>
              <w:rPr>
                <w:sz w:val="21"/>
                <w:szCs w:val="21"/>
              </w:rPr>
              <w:t xml:space="preserve"> расходы на: библиотечное обслуживание 134,5 тыс. руб. и музей 265,5 тыс.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Кинематография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0802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5 124,47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5 124,47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2018" w:type="dxa"/>
            <w:vMerge w:val="continue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Другие вопросы в области культуры, кинематографии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0804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3 053,77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3 294,53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240,76</w:t>
            </w:r>
          </w:p>
        </w:tc>
        <w:tc>
          <w:tcPr>
            <w:tcW w:w="2018" w:type="dxa"/>
            <w:vMerge w:val="continue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ИТОГО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69 993,39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70 665,06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671,66</w:t>
            </w:r>
          </w:p>
        </w:tc>
        <w:tc>
          <w:tcPr>
            <w:tcW w:w="2018" w:type="dxa"/>
            <w:vMerge w:val="continue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22"/>
        <w:ind w:left="0" w:firstLine="709"/>
        <w:jc w:val="center"/>
        <w:rPr>
          <w:b/>
          <w:color w:val="000000"/>
          <w:highlight w:val="lightGray"/>
        </w:rPr>
      </w:pPr>
    </w:p>
    <w:p>
      <w:pPr>
        <w:pStyle w:val="22"/>
        <w:ind w:left="0" w:firstLine="709"/>
        <w:jc w:val="center"/>
        <w:rPr>
          <w:b/>
          <w:color w:val="000000"/>
        </w:rPr>
      </w:pPr>
      <w:r>
        <w:rPr>
          <w:b/>
          <w:color w:val="000000"/>
        </w:rPr>
        <w:t>Социальная политика</w:t>
      </w:r>
    </w:p>
    <w:p>
      <w:pPr>
        <w:autoSpaceDE w:val="0"/>
        <w:autoSpaceDN w:val="0"/>
        <w:adjustRightInd w:val="0"/>
        <w:ind w:left="57" w:right="5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Предлагаемые изменения бюджетных ассигнований по подразделу «Социальная политика» составляют (-3000,00) тыс. рублей, в том числе:</w:t>
      </w:r>
    </w:p>
    <w:p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№19 (тыс. руб.)</w:t>
      </w:r>
    </w:p>
    <w:tbl>
      <w:tblPr>
        <w:tblStyle w:val="5"/>
        <w:tblW w:w="9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1213"/>
        <w:gridCol w:w="1513"/>
        <w:gridCol w:w="1297"/>
        <w:gridCol w:w="120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Раздел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Утверждённый прогноз 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Уточнённый прогноз 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Изменение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(гр.4-гр.3)</w:t>
            </w:r>
          </w:p>
        </w:tc>
        <w:tc>
          <w:tcPr>
            <w:tcW w:w="1971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Пояснение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971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Пенсионное обеспечение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1001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9 129,73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9 129,73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1971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Социальное обеспечение населения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1003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2 135,52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2 135,52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1971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Охрана семьи и детства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1004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6 942,30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3 942,30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-3 000,00</w:t>
            </w:r>
          </w:p>
        </w:tc>
        <w:tc>
          <w:tcPr>
            <w:tcW w:w="1971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Уменьшен размер субвенции на компенсацию части родительской платы за присмотр и уход за детьми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ИТОГО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>
            <w:pP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18 207,55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15 207,55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-3 000,00</w:t>
            </w:r>
          </w:p>
        </w:tc>
        <w:tc>
          <w:tcPr>
            <w:tcW w:w="1971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22"/>
        <w:ind w:left="0" w:firstLine="709"/>
        <w:jc w:val="center"/>
        <w:rPr>
          <w:b/>
          <w:color w:val="000000"/>
          <w:highlight w:val="lightGray"/>
        </w:rPr>
      </w:pPr>
    </w:p>
    <w:p>
      <w:pPr>
        <w:pStyle w:val="22"/>
        <w:ind w:left="0"/>
        <w:jc w:val="center"/>
        <w:rPr>
          <w:b/>
          <w:color w:val="000000"/>
        </w:rPr>
      </w:pPr>
      <w:r>
        <w:rPr>
          <w:b/>
          <w:color w:val="000000"/>
        </w:rPr>
        <w:t>Физическая культура и спорт</w:t>
      </w:r>
    </w:p>
    <w:p>
      <w:pPr>
        <w:pStyle w:val="22"/>
        <w:ind w:left="0"/>
        <w:jc w:val="both"/>
        <w:rPr>
          <w:color w:val="000000"/>
        </w:rPr>
      </w:pPr>
      <w:r>
        <w:rPr>
          <w:color w:val="000000"/>
        </w:rPr>
        <w:t>Предлагаемые изменения бюджетных ассигнований по подразделу «Физическая культура и спорт» составляют (+1150,68) тыс. рублей, в том числе:</w:t>
      </w:r>
    </w:p>
    <w:p>
      <w:pPr>
        <w:autoSpaceDE w:val="0"/>
        <w:autoSpaceDN w:val="0"/>
        <w:adjustRightInd w:val="0"/>
        <w:ind w:left="57" w:right="57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№20 (тыс. руб.) </w:t>
      </w:r>
    </w:p>
    <w:tbl>
      <w:tblPr>
        <w:tblStyle w:val="5"/>
        <w:tblW w:w="91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958"/>
        <w:gridCol w:w="1617"/>
        <w:gridCol w:w="1258"/>
        <w:gridCol w:w="1318"/>
        <w:gridCol w:w="1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Наименование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Раздел</w:t>
            </w:r>
          </w:p>
        </w:tc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Утверждённый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прогноз </w:t>
            </w:r>
          </w:p>
        </w:tc>
        <w:tc>
          <w:tcPr>
            <w:tcW w:w="1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Уточнённый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прогноз на 2023 год</w:t>
            </w:r>
          </w:p>
        </w:tc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Изменение (гр.4-гр.3)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Пояснение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Физическая культура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1101</w:t>
            </w:r>
          </w:p>
        </w:tc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956,6</w:t>
            </w: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7</w:t>
            </w:r>
          </w:p>
        </w:tc>
        <w:tc>
          <w:tcPr>
            <w:tcW w:w="1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2107,36</w:t>
            </w:r>
          </w:p>
        </w:tc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1 150,68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Увеличение расходов на закупку товаров, работ и услуг </w:t>
            </w:r>
          </w:p>
        </w:tc>
      </w:tr>
    </w:tbl>
    <w:p>
      <w:pPr>
        <w:pStyle w:val="22"/>
        <w:ind w:left="0"/>
        <w:jc w:val="center"/>
        <w:rPr>
          <w:b/>
          <w:color w:val="000000"/>
          <w:highlight w:val="lightGray"/>
        </w:rPr>
      </w:pPr>
    </w:p>
    <w:p>
      <w:pPr>
        <w:suppressAutoHyphens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Межбюджетные трансферты общего характера бюджетам субъектов российской федерации и муниципальных образований</w:t>
      </w:r>
    </w:p>
    <w:p>
      <w:pPr>
        <w:pStyle w:val="22"/>
        <w:ind w:left="0"/>
        <w:jc w:val="both"/>
        <w:rPr>
          <w:bCs/>
          <w:color w:val="000000"/>
        </w:rPr>
      </w:pPr>
      <w:r>
        <w:rPr>
          <w:color w:val="000000"/>
        </w:rPr>
        <w:t>Предлагаемые изменения бюджетных ассигнований по подразделу «</w:t>
      </w:r>
      <w:r>
        <w:rPr>
          <w:bCs/>
          <w:color w:val="000000"/>
        </w:rPr>
        <w:t>Межбюджетные трансферты»</w:t>
      </w:r>
      <w:r>
        <w:rPr>
          <w:bCs/>
        </w:rPr>
        <w:t xml:space="preserve"> </w:t>
      </w:r>
      <w:r>
        <w:rPr>
          <w:bCs/>
          <w:color w:val="000000"/>
        </w:rPr>
        <w:t>составляют (-439,50) тыс. рублей, в том числе:</w:t>
      </w:r>
    </w:p>
    <w:p>
      <w:pPr>
        <w:autoSpaceDE w:val="0"/>
        <w:autoSpaceDN w:val="0"/>
        <w:adjustRightInd w:val="0"/>
        <w:ind w:left="57" w:right="57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№21 (тыс. руб.) </w:t>
      </w:r>
    </w:p>
    <w:tbl>
      <w:tblPr>
        <w:tblStyle w:val="5"/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1213"/>
        <w:gridCol w:w="1513"/>
        <w:gridCol w:w="1297"/>
        <w:gridCol w:w="120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Раздел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Утверждённый прогноз 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Уточнённый прогноз 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Изменение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(гр.4-гр.3)</w:t>
            </w:r>
          </w:p>
        </w:tc>
        <w:tc>
          <w:tcPr>
            <w:tcW w:w="1971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Пояснение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971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1401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64020,685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63581,185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-439,5</w:t>
            </w:r>
          </w:p>
        </w:tc>
        <w:tc>
          <w:tcPr>
            <w:tcW w:w="197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Сокращение дотации бюджетам поселений на выравнивание бюджетной обеспеченности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Прочие межбюджетные трансферты общего характера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1403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3545,594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3545,594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97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92" w:type="dxa"/>
            <w:shd w:val="clear" w:color="auto" w:fill="auto"/>
            <w:noWrap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ИТОГО</w:t>
            </w:r>
          </w:p>
        </w:tc>
        <w:tc>
          <w:tcPr>
            <w:tcW w:w="1213" w:type="dxa"/>
            <w:shd w:val="clear" w:color="auto" w:fill="auto"/>
            <w:vAlign w:val="bottom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67566,279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67126,779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-439,5</w:t>
            </w:r>
          </w:p>
        </w:tc>
        <w:tc>
          <w:tcPr>
            <w:tcW w:w="197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suppressAutoHyphens/>
        <w:rPr>
          <w:b/>
          <w:sz w:val="22"/>
          <w:szCs w:val="22"/>
          <w:highlight w:val="lightGray"/>
        </w:rPr>
      </w:pPr>
    </w:p>
    <w:p>
      <w:pPr>
        <w:suppressAutoHyphens/>
        <w:rPr>
          <w:sz w:val="24"/>
          <w:szCs w:val="24"/>
        </w:rPr>
      </w:pPr>
      <w:r>
        <w:rPr>
          <w:b/>
          <w:sz w:val="24"/>
          <w:szCs w:val="24"/>
        </w:rPr>
        <w:t>4.2.Изменение расходов муниципального образования «Ахтубинский район» в 2024-2025 годах.</w:t>
      </w:r>
    </w:p>
    <w:p>
      <w:pPr>
        <w:pStyle w:val="22"/>
        <w:tabs>
          <w:tab w:val="left" w:pos="567"/>
        </w:tabs>
        <w:ind w:left="0" w:firstLine="709"/>
        <w:jc w:val="both"/>
        <w:rPr>
          <w:rFonts w:hint="default"/>
          <w:lang w:val="ru-RU"/>
        </w:rPr>
      </w:pPr>
      <w:r>
        <w:t xml:space="preserve">В проекте бюджета на плановый период </w:t>
      </w:r>
      <w:r>
        <w:rPr>
          <w:b/>
          <w:bCs/>
        </w:rPr>
        <w:t>2024</w:t>
      </w:r>
      <w:r>
        <w:t xml:space="preserve"> года осуществлено перераспределение и изменение бюджетных ассигнований за счёт </w:t>
      </w:r>
      <w:r>
        <w:rPr>
          <w:lang w:val="ru-RU"/>
        </w:rPr>
        <w:t>уменьшения</w:t>
      </w:r>
      <w:r>
        <w:rPr>
          <w:rFonts w:hint="default"/>
          <w:lang w:val="ru-RU"/>
        </w:rPr>
        <w:t xml:space="preserve"> на </w:t>
      </w:r>
      <w:r>
        <w:t>85070,38 тыс.руб.</w:t>
      </w:r>
      <w:r>
        <w:rPr>
          <w:rFonts w:hint="default"/>
          <w:lang w:val="ru-RU"/>
        </w:rPr>
        <w:t xml:space="preserve"> </w:t>
      </w:r>
      <w:r>
        <w:t>безвозмездных поступлений от других бюджетов бюджетной системы Российской Федерации</w:t>
      </w:r>
      <w:r>
        <w:rPr>
          <w:rFonts w:hint="default"/>
          <w:lang w:val="ru-RU"/>
        </w:rPr>
        <w:t>.</w:t>
      </w:r>
    </w:p>
    <w:p>
      <w:pPr>
        <w:pStyle w:val="22"/>
        <w:tabs>
          <w:tab w:val="left" w:pos="567"/>
        </w:tabs>
        <w:ind w:left="0"/>
        <w:jc w:val="both"/>
      </w:pPr>
      <w:r>
        <w:t xml:space="preserve">В проекте бюджета на плановый период </w:t>
      </w:r>
      <w:r>
        <w:rPr>
          <w:b/>
          <w:bCs/>
        </w:rPr>
        <w:t>2025</w:t>
      </w:r>
      <w:r>
        <w:t xml:space="preserve"> года изменений не предусмотрено.</w:t>
      </w:r>
    </w:p>
    <w:p>
      <w:pPr>
        <w:pStyle w:val="22"/>
        <w:tabs>
          <w:tab w:val="left" w:pos="567"/>
        </w:tabs>
        <w:ind w:left="0"/>
        <w:jc w:val="both"/>
        <w:rPr>
          <w:highlight w:val="lightGray"/>
        </w:rPr>
      </w:pPr>
    </w:p>
    <w:p>
      <w:pPr>
        <w:pStyle w:val="22"/>
        <w:numPr>
          <w:ilvl w:val="0"/>
          <w:numId w:val="2"/>
        </w:numPr>
        <w:suppressAutoHyphens/>
        <w:jc w:val="center"/>
        <w:rPr>
          <w:b/>
        </w:rPr>
      </w:pPr>
      <w:r>
        <w:rPr>
          <w:b/>
        </w:rPr>
        <w:t>Резервный фонд.</w:t>
      </w:r>
    </w:p>
    <w:p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проекте Решения размер резервного фонда на 2023 год уменьшен на 700,00 тыс. руб.и составил 2000,00 тыс. руб.;</w:t>
      </w:r>
    </w:p>
    <w:p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плановый период </w:t>
      </w:r>
      <w:r>
        <w:rPr>
          <w:b/>
          <w:bCs/>
          <w:sz w:val="24"/>
          <w:szCs w:val="24"/>
        </w:rPr>
        <w:t>2024-2025</w:t>
      </w:r>
      <w:r>
        <w:rPr>
          <w:sz w:val="24"/>
          <w:szCs w:val="24"/>
        </w:rPr>
        <w:t xml:space="preserve"> годов размер резервного фонда остался без изменений.</w:t>
      </w:r>
    </w:p>
    <w:p>
      <w:pPr>
        <w:suppressAutoHyphens/>
        <w:ind w:left="800" w:leftChars="400"/>
        <w:jc w:val="both"/>
        <w:rPr>
          <w:sz w:val="24"/>
          <w:szCs w:val="24"/>
        </w:rPr>
      </w:pPr>
      <w:r>
        <w:rPr>
          <w:sz w:val="24"/>
          <w:szCs w:val="24"/>
        </w:rPr>
        <w:t>- на 2024 год -1000,00 тыс. руб.;</w:t>
      </w:r>
    </w:p>
    <w:p>
      <w:pPr>
        <w:suppressAutoHyphens/>
        <w:ind w:left="800" w:leftChars="400"/>
        <w:jc w:val="both"/>
        <w:rPr>
          <w:sz w:val="24"/>
          <w:szCs w:val="24"/>
        </w:rPr>
      </w:pPr>
      <w:r>
        <w:rPr>
          <w:sz w:val="24"/>
          <w:szCs w:val="24"/>
        </w:rPr>
        <w:t>- на 2025 год -1000,00 тыс. руб.</w:t>
      </w:r>
    </w:p>
    <w:p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Резервный фонд муниципального образования не превышает ограничение, установленное п.3 ст. 81 Бюджетного кодекса РФ (не более 3% от общего объёма расходов).</w:t>
      </w:r>
    </w:p>
    <w:p>
      <w:pPr>
        <w:suppressAutoHyphens/>
        <w:ind w:firstLine="709"/>
        <w:jc w:val="both"/>
        <w:rPr>
          <w:sz w:val="24"/>
          <w:szCs w:val="24"/>
          <w:highlight w:val="lightGray"/>
          <w:lang w:eastAsia="ar-SA"/>
        </w:rPr>
      </w:pPr>
    </w:p>
    <w:p>
      <w:pPr>
        <w:numPr>
          <w:ilvl w:val="0"/>
          <w:numId w:val="2"/>
        </w:num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Бюджетные ассигнования на финансовое обеспечение выполнения публичных нормативных обязательств.</w:t>
      </w:r>
    </w:p>
    <w:p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проекте бюджета уменьшены бюджетные ассигнования на 3000,00 тыс. руб. по расходам на исполнение публичных нормативных обязательств за счёт уменьшения размера субвенции (Приложение №27 к Закону Астраханской области "О бюджете Астраханской области на 2023 год и на плановый период 2024 и 2025 годов":</w:t>
      </w:r>
    </w:p>
    <w:p>
      <w:pPr>
        <w:pStyle w:val="22"/>
        <w:suppressAutoHyphens/>
        <w:spacing w:before="120"/>
        <w:ind w:left="357"/>
        <w:jc w:val="right"/>
      </w:pPr>
      <w:r>
        <w:t>Таблица №22 (тыс. руб.)</w:t>
      </w:r>
    </w:p>
    <w:tbl>
      <w:tblPr>
        <w:tblStyle w:val="5"/>
        <w:tblW w:w="907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3036"/>
        <w:gridCol w:w="1276"/>
        <w:gridCol w:w="1417"/>
        <w:gridCol w:w="1276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№ п/п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Наименование публичных 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нормативных обязательств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Утверждённый прогноз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Уточнённый прогноз на 2023 год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Изменение (гр.4-гр.3)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Изменение (%)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(гр.5/гр.3)*100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tblHeader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6852,05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3852,05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-3000,00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-43,78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Выплаты пенсии за выслугу лет муниципальным служащим МО «Ахтубинский район»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9129,73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9129,73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0,00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15981,78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12981,78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-3000,00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-18,77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2"/>
          <w:szCs w:val="22"/>
          <w:highlight w:val="lightGray"/>
        </w:rPr>
      </w:pPr>
    </w:p>
    <w:p>
      <w:pPr>
        <w:pStyle w:val="22"/>
        <w:numPr>
          <w:ilvl w:val="0"/>
          <w:numId w:val="2"/>
        </w:numPr>
        <w:autoSpaceDE w:val="0"/>
        <w:autoSpaceDN w:val="0"/>
        <w:adjustRightInd w:val="0"/>
        <w:spacing w:before="120"/>
        <w:jc w:val="center"/>
        <w:rPr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Дорожный фонд</w:t>
      </w:r>
    </w:p>
    <w:p>
      <w:pPr>
        <w:pStyle w:val="12"/>
        <w:spacing w:after="0"/>
        <w:ind w:firstLine="709"/>
        <w:jc w:val="both"/>
        <w:rPr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В соответствии со </w:t>
      </w:r>
      <w:r>
        <w:t>ст. 179.4 Бюджетного Кодекса РФ проектом бюджета установлен о</w:t>
      </w:r>
      <w:r>
        <w:rPr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бъем бюджетных ассигнований дорожного фонда МО «Ахтубинский район». </w:t>
      </w:r>
    </w:p>
    <w:p>
      <w:pPr>
        <w:pStyle w:val="12"/>
        <w:spacing w:after="0"/>
        <w:ind w:firstLine="709"/>
        <w:jc w:val="right"/>
        <w:rPr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Таблица №23 (тыс. руб.)</w:t>
      </w:r>
    </w:p>
    <w:tbl>
      <w:tblPr>
        <w:tblStyle w:val="5"/>
        <w:tblW w:w="921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035"/>
        <w:gridCol w:w="1735"/>
        <w:gridCol w:w="1735"/>
        <w:gridCol w:w="1697"/>
        <w:gridCol w:w="2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US" w:eastAsia="zh-CN"/>
              </w:rPr>
              <w:t>№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US" w:eastAsia="zh-CN"/>
              </w:rPr>
              <w:t>Период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Утверждённый прогноз 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Уточнённый прогноз на 2023 год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Изменение (гр.4-гр.3)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Изменение (%)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(гр.5/гр.3)*100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2023 год</w:t>
            </w:r>
          </w:p>
        </w:tc>
        <w:tc>
          <w:tcPr>
            <w:tcW w:w="1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91 615,71</w:t>
            </w:r>
          </w:p>
        </w:tc>
        <w:tc>
          <w:tcPr>
            <w:tcW w:w="1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89 934,20</w:t>
            </w:r>
          </w:p>
        </w:tc>
        <w:tc>
          <w:tcPr>
            <w:tcW w:w="1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-1 681,51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- 1,84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2024 год</w:t>
            </w:r>
          </w:p>
        </w:tc>
        <w:tc>
          <w:tcPr>
            <w:tcW w:w="1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82 598,62</w:t>
            </w:r>
          </w:p>
        </w:tc>
        <w:tc>
          <w:tcPr>
            <w:tcW w:w="1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82 598,62</w:t>
            </w:r>
          </w:p>
        </w:tc>
        <w:tc>
          <w:tcPr>
            <w:tcW w:w="1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2025 год</w:t>
            </w:r>
          </w:p>
        </w:tc>
        <w:tc>
          <w:tcPr>
            <w:tcW w:w="1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87 049,16</w:t>
            </w:r>
          </w:p>
        </w:tc>
        <w:tc>
          <w:tcPr>
            <w:tcW w:w="1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87 049,16</w:t>
            </w:r>
          </w:p>
        </w:tc>
        <w:tc>
          <w:tcPr>
            <w:tcW w:w="1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</w:tr>
    </w:tbl>
    <w:p>
      <w:pPr>
        <w:pStyle w:val="12"/>
        <w:spacing w:after="0"/>
        <w:ind w:firstLine="709"/>
        <w:jc w:val="right"/>
        <w:rPr>
          <w:color w:val="000000" w:themeColor="text1"/>
          <w:sz w:val="22"/>
          <w:szCs w:val="22"/>
          <w:highlight w:val="lightGray"/>
          <w:lang w:eastAsia="en-US"/>
          <w14:textFill>
            <w14:solidFill>
              <w14:schemeClr w14:val="tx1"/>
            </w14:solidFill>
          </w14:textFill>
        </w:rPr>
      </w:pPr>
    </w:p>
    <w:p>
      <w:pPr>
        <w:suppressAutoHyphens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бюджетных ассигнований дорожного фонда на 2023 год уменьшен на 1681,51 тыс. руб. за счёт уточнённого прогноза поступлений главного администратора доходов бюджета УФНС России по Астраханской области.</w:t>
      </w:r>
    </w:p>
    <w:p>
      <w:pPr>
        <w:suppressAutoHyphens/>
        <w:jc w:val="both"/>
        <w:rPr>
          <w:bCs/>
          <w:sz w:val="24"/>
          <w:szCs w:val="24"/>
          <w:highlight w:val="lightGray"/>
        </w:rPr>
      </w:pPr>
    </w:p>
    <w:p>
      <w:pPr>
        <w:pStyle w:val="22"/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  <w:r>
        <w:rPr>
          <w:b/>
          <w:bCs/>
        </w:rPr>
        <w:t>Расходы на осуществление бюджетных инвестиций в форме капитальных вложений в объекты муниципальной собственности МО «Ахтубинский район».</w:t>
      </w:r>
    </w:p>
    <w:p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Бюджетные ассигнования в 2023 году в форме капитальных вложений в объекты муниципальной собственности увеличены на 4585,76 тыс. руб. или на 10,8%:</w:t>
      </w:r>
    </w:p>
    <w:p>
      <w:pPr>
        <w:shd w:val="clear" w:color="auto" w:fill="FFFFFF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№24 (тыс. руб.)</w:t>
      </w:r>
    </w:p>
    <w:tbl>
      <w:tblPr>
        <w:tblStyle w:val="5"/>
        <w:tblW w:w="9354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7"/>
        <w:gridCol w:w="1097"/>
        <w:gridCol w:w="1097"/>
        <w:gridCol w:w="1097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Наименование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Утвержденный прогноз на 2023 год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Уточненный прогноз на 2023 год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Изменение (гр.3-гр.2)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Изменение 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Строительство детского сада-яслей на 120 мест по адресу: Астраханская область, Ахтубинский район, г. Ахтубинск, ул. 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Агурина, в районе дома № 18 и ул. Садовая.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1 500,00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199,00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-1 301,00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- 86,73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7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rFonts w:eastAsia="SimSun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Водовод от с. Солянка до с. Капустин Яр 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6 124,07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6 124,07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Реконструкция разводящих сетей водоснабжения с. Капустин Яр 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3 100,00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3 100,00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7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Реконструкция здания Дома культуры с .Успенка 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752,00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752,00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Строительство приюта для животных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30 000,00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30 000,00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Реализация регионального проекта «Обеспечение устойчивого сокращения непригодного для проживания жилищного фонда 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0,00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5 782,56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5 782,56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Подпрограмма «Развитие инфраструктуры сферы физической культуры и спорта, укрепление материально-технической базы в Ахтубинском районе» муниципальной программы «Развитие физической культуры и спорта в Ахтубинском районе»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0,00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104,20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104,20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Исполнение судебных актов по обращению взыскания на средства бюджета в рамках непрограммных мероприятий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974,85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974,85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ВСЕГО: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42 450,92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47 036,68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>4 585,76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val="en-US" w:eastAsia="zh-CN" w:bidi="ar"/>
              </w:rPr>
              <w:t xml:space="preserve"> 10,80</w:t>
            </w:r>
          </w:p>
        </w:tc>
      </w:tr>
    </w:tbl>
    <w:p>
      <w:pPr>
        <w:pStyle w:val="22"/>
        <w:shd w:val="clear" w:color="auto" w:fill="FFFFFF"/>
        <w:ind w:left="0" w:firstLine="709"/>
        <w:jc w:val="both"/>
        <w:rPr>
          <w:bCs/>
          <w:highlight w:val="lightGray"/>
        </w:rPr>
      </w:pPr>
    </w:p>
    <w:p>
      <w:pPr>
        <w:pStyle w:val="22"/>
        <w:shd w:val="clear" w:color="auto" w:fill="FFFFFF"/>
        <w:ind w:left="0" w:firstLine="709"/>
        <w:jc w:val="both"/>
        <w:rPr>
          <w:rFonts w:eastAsia="SimSun"/>
          <w:color w:val="000000"/>
          <w:lang w:eastAsia="zh-CN" w:bidi="ar"/>
        </w:rPr>
      </w:pPr>
      <w:r>
        <w:rPr>
          <w:bCs/>
        </w:rPr>
        <w:t>Между Министерством строительства и жилищно-коммунального хозяйства Астраханской области и Администрацией муниципального образования «Ахтубинский муниципальный район Астраханской области» заключено соглашение от 23.07.2023 г. №04-01/54 о выделении субсидии в размере 9224,07 тыс. руб. в 2023 году на реализацию мероприятий по строительству (реконструкции) систем коммунальной инфраструктуры, а именно: в</w:t>
      </w:r>
      <w:r>
        <w:rPr>
          <w:bCs/>
          <w:lang w:eastAsia="zh-CN"/>
        </w:rPr>
        <w:t>одовод от</w:t>
      </w:r>
      <w:r>
        <w:rPr>
          <w:rFonts w:eastAsia="SimSun"/>
          <w:color w:val="000000"/>
          <w:lang w:eastAsia="zh-CN" w:bidi="ar"/>
        </w:rPr>
        <w:t xml:space="preserve"> с. Солянка до с. Капустин Яр протяжённостью 18 км и реконструкция разводящих сетей водоснабжения с. Капустин Яр протяжённостью 38 км. Однако, согласно решения Правительственной комиссии по региональному развитию в Российской Федерации от 01.11.2023 г. №61пр, лимиты финансовой поддержки сокращены, мероприятия в МО «Ахтубинский район» исключены из региональной программы (письмо т 10.11.2023 г. №110-01-08/12792). </w:t>
      </w:r>
    </w:p>
    <w:p>
      <w:pPr>
        <w:pStyle w:val="22"/>
        <w:shd w:val="clear" w:color="auto" w:fill="FFFFFF"/>
        <w:ind w:left="0" w:firstLine="709"/>
        <w:jc w:val="both"/>
        <w:rPr>
          <w:rFonts w:eastAsia="SimSun"/>
          <w:color w:val="000000"/>
          <w:lang w:eastAsia="zh-CN" w:bidi="ar"/>
        </w:rPr>
      </w:pPr>
    </w:p>
    <w:p>
      <w:pPr>
        <w:pStyle w:val="22"/>
        <w:shd w:val="clear" w:color="auto" w:fill="FFFFFF"/>
        <w:ind w:left="0" w:firstLine="709"/>
        <w:jc w:val="both"/>
        <w:rPr>
          <w:rFonts w:hint="default" w:eastAsia="SimSun"/>
          <w:color w:val="000000"/>
          <w:lang w:val="ru-RU" w:eastAsia="zh-CN"/>
        </w:rPr>
      </w:pPr>
      <w:r>
        <w:rPr>
          <w:rFonts w:eastAsia="SimSun"/>
          <w:color w:val="000000"/>
          <w:lang w:eastAsia="zh-CN" w:bidi="ar"/>
        </w:rPr>
        <w:t>В соответствии с дополнительным соглашением от 29.05.2023 г. №1 к соглашению «О предоставлении субвенции, выделяемых местным бюджетам муниципальных образований Астраханской области из бюджета Астраханской области на осуществление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владельцев» от 28.12.2022 г. №1/2023 выделено</w:t>
      </w:r>
      <w:r>
        <w:rPr>
          <w:rFonts w:eastAsia="SimSun"/>
          <w:b w:val="0"/>
          <w:bCs w:val="0"/>
          <w:color w:val="000000"/>
          <w:lang w:eastAsia="zh-CN" w:bidi="ar"/>
        </w:rPr>
        <w:t xml:space="preserve"> 30000,00 тыс. руб. н</w:t>
      </w:r>
      <w:r>
        <w:rPr>
          <w:rFonts w:eastAsia="SimSun"/>
          <w:color w:val="000000"/>
          <w:lang w:eastAsia="zh-CN" w:bidi="ar"/>
        </w:rPr>
        <w:t xml:space="preserve">а создание приюта для содержания животных. </w:t>
      </w:r>
      <w:r>
        <w:rPr>
          <w:rFonts w:eastAsia="SimSun"/>
          <w:color w:val="000000"/>
          <w:lang w:val="ru-RU" w:eastAsia="zh-CN" w:bidi="ar"/>
        </w:rPr>
        <w:t>По</w:t>
      </w:r>
      <w:r>
        <w:rPr>
          <w:rFonts w:hint="default" w:eastAsia="SimSun"/>
          <w:color w:val="000000"/>
          <w:lang w:val="ru-RU" w:eastAsia="zh-CN" w:bidi="ar"/>
        </w:rPr>
        <w:t xml:space="preserve"> состоянию на 22.12.2023 г. к</w:t>
      </w:r>
      <w:r>
        <w:rPr>
          <w:rFonts w:hint="default" w:eastAsia="SimSun"/>
          <w:color w:val="000000"/>
          <w:lang w:val="ru-RU" w:eastAsia="zh-CN"/>
        </w:rPr>
        <w:t>апитальные вложения в объект государственной (муниципальной) собственности (строительство приюта)</w:t>
      </w:r>
      <w:r>
        <w:rPr>
          <w:rFonts w:hint="default" w:eastAsia="SimSun"/>
          <w:color w:val="000000"/>
          <w:lang w:val="ru-RU" w:eastAsia="zh-CN" w:bidi="ar"/>
        </w:rPr>
        <w:t xml:space="preserve"> в рамках </w:t>
      </w:r>
      <w:r>
        <w:rPr>
          <w:rFonts w:hint="default" w:eastAsia="SimSun"/>
          <w:color w:val="000000"/>
          <w:lang w:val="ru-RU" w:eastAsia="zh-CN"/>
        </w:rPr>
        <w:t xml:space="preserve">мероприятий при осуществлении деятельности по обращению с животными без владельцев на территории МО "Ахтубинский район" подпрограммы "Регулирование численности безнадзорных животных, обеспечение порядка и спокойствия населения на территории Ахтубинского района муниципальной программы"Строительство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района" составляют 0,00 тыс. руб. Имеется риск неисполнения данной подпрограммы до конца текущего финансового года. </w:t>
      </w:r>
    </w:p>
    <w:p>
      <w:pPr>
        <w:pStyle w:val="22"/>
        <w:shd w:val="clear" w:color="auto" w:fill="FFFFFF"/>
        <w:ind w:left="0" w:firstLine="709"/>
        <w:jc w:val="both"/>
        <w:rPr>
          <w:rFonts w:hint="default" w:eastAsia="SimSun"/>
          <w:color w:val="000000"/>
          <w:lang w:val="ru-RU" w:eastAsia="zh-CN"/>
        </w:rPr>
      </w:pPr>
    </w:p>
    <w:p>
      <w:pPr>
        <w:pStyle w:val="2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firstLine="709"/>
        <w:jc w:val="both"/>
        <w:textAlignment w:val="auto"/>
        <w:rPr>
          <w:bCs/>
          <w:lang w:eastAsia="zh-CN"/>
        </w:rPr>
      </w:pPr>
      <w:r>
        <w:rPr>
          <w:bCs/>
          <w:lang w:eastAsia="zh-CN"/>
        </w:rPr>
        <w:t>Проектом решени</w:t>
      </w:r>
      <w:r>
        <w:rPr>
          <w:bCs/>
          <w:lang w:val="ru-RU" w:eastAsia="zh-CN"/>
        </w:rPr>
        <w:t>я</w:t>
      </w:r>
      <w:r>
        <w:rPr>
          <w:bCs/>
          <w:lang w:eastAsia="zh-CN"/>
        </w:rPr>
        <w:t xml:space="preserve"> предусмотрено выделение денежных средств в размере 974,85 тыс. руб. на оплату исполнительного листа от 26.12.2022 г. по делу №А57-28172/2021 в пользу ООО «Техпроминвест».</w:t>
      </w:r>
    </w:p>
    <w:p>
      <w:pPr>
        <w:pStyle w:val="22"/>
        <w:shd w:val="clear" w:color="auto" w:fill="FFFFFF"/>
        <w:ind w:left="0" w:firstLine="709"/>
        <w:jc w:val="both"/>
        <w:rPr>
          <w:rFonts w:eastAsia="SimSun"/>
          <w:color w:val="000000"/>
          <w:highlight w:val="lightGray"/>
          <w:lang w:eastAsia="zh-CN" w:bidi="ar"/>
        </w:rPr>
      </w:pPr>
    </w:p>
    <w:p>
      <w:pPr>
        <w:pStyle w:val="22"/>
        <w:shd w:val="clear" w:color="auto" w:fill="FFFFFF"/>
        <w:ind w:left="0"/>
        <w:jc w:val="both"/>
        <w:rPr>
          <w:rFonts w:eastAsia="SimSun"/>
          <w:color w:val="000000"/>
          <w:lang w:eastAsia="zh-CN"/>
        </w:rPr>
      </w:pPr>
      <w:r>
        <w:rPr>
          <w:bCs/>
        </w:rPr>
        <w:t>Бюджетные ассигнования на</w:t>
      </w:r>
      <w:r>
        <w:rPr>
          <w:b/>
        </w:rPr>
        <w:t xml:space="preserve"> 2024 год</w:t>
      </w:r>
      <w:r>
        <w:rPr>
          <w:bCs/>
        </w:rPr>
        <w:t xml:space="preserve"> увеличены на 21541,28тыс. руб.</w:t>
      </w:r>
      <w:r>
        <w:rPr>
          <w:bCs/>
          <w:color w:val="FF0000"/>
        </w:rPr>
        <w:t xml:space="preserve"> </w:t>
      </w:r>
      <w:r>
        <w:rPr>
          <w:bCs/>
        </w:rPr>
        <w:t>на реализацию регионального проекта «Обеспечение устойчивого сокращения непригодного для проживания жилищного фонда (Астраханская область) в рамках федерального проекта "Обеспечение устойчивого сокращения непригодного для проживания жилищного фонда" муниципальной программы «Стимулирование развития жилищного строительства» (переселение граждан в пос. Средний Баскунчак по ул. Космонавтов, д. 46 и д.48).</w:t>
      </w:r>
    </w:p>
    <w:p>
      <w:pPr>
        <w:pStyle w:val="22"/>
        <w:shd w:val="clear" w:color="auto" w:fill="FFFFFF"/>
        <w:ind w:left="0" w:firstLine="709"/>
        <w:jc w:val="both"/>
        <w:rPr>
          <w:bCs/>
        </w:rPr>
      </w:pPr>
      <w:r>
        <w:rPr>
          <w:bCs/>
        </w:rPr>
        <w:t xml:space="preserve">Бюджетные ассигнования на </w:t>
      </w:r>
      <w:r>
        <w:rPr>
          <w:b/>
        </w:rPr>
        <w:t xml:space="preserve">2025 год </w:t>
      </w:r>
      <w:r>
        <w:rPr>
          <w:bCs/>
        </w:rPr>
        <w:t>не запланированы.</w:t>
      </w:r>
    </w:p>
    <w:p>
      <w:pPr>
        <w:pStyle w:val="22"/>
        <w:shd w:val="clear" w:color="auto" w:fill="FFFFFF"/>
        <w:jc w:val="both"/>
        <w:rPr>
          <w:bCs/>
          <w:highlight w:val="lightGray"/>
          <w:lang w:eastAsia="zh-CN"/>
        </w:rPr>
      </w:pPr>
    </w:p>
    <w:p>
      <w:pPr>
        <w:suppressAutoHyphens/>
        <w:ind w:firstLine="567"/>
        <w:jc w:val="both"/>
        <w:rPr>
          <w:rFonts w:eastAsiaTheme="majorEastAsia"/>
          <w:bCs/>
          <w:sz w:val="24"/>
          <w:szCs w:val="24"/>
        </w:rPr>
      </w:pPr>
      <w:r>
        <w:rPr>
          <w:rFonts w:eastAsiaTheme="majorEastAsia"/>
          <w:b/>
          <w:bCs/>
          <w:sz w:val="24"/>
          <w:szCs w:val="24"/>
        </w:rPr>
        <w:t>Вывод:</w:t>
      </w:r>
      <w:r>
        <w:rPr>
          <w:rFonts w:eastAsiaTheme="majorEastAsia"/>
          <w:bCs/>
          <w:sz w:val="24"/>
          <w:szCs w:val="24"/>
        </w:rPr>
        <w:t xml:space="preserve"> </w:t>
      </w:r>
    </w:p>
    <w:p>
      <w:pPr>
        <w:pStyle w:val="22"/>
        <w:numPr>
          <w:ilvl w:val="0"/>
          <w:numId w:val="3"/>
        </w:numPr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Корректировки бюджетных назначений произведены в соответствии с Законом Астраханской области от 15.12.2022 N 93/2022-ОЗ "О бюджете Астраханской области на 2023 год и на плановый период 2024 и 2025 годов" (ред.от 10.11.2023) (приложение №13,14,14.1,14</w:t>
      </w:r>
      <w:r>
        <w:rPr>
          <w:rFonts w:hint="default" w:eastAsiaTheme="minorHAnsi"/>
          <w:lang w:val="ru-RU" w:eastAsia="en-US"/>
        </w:rPr>
        <w:t>.</w:t>
      </w:r>
      <w:r>
        <w:rPr>
          <w:rFonts w:eastAsiaTheme="minorHAnsi"/>
          <w:lang w:eastAsia="en-US"/>
        </w:rPr>
        <w:t>2,17,18,27,31,33), уведомлениями Министерства финансов Астраханской области о предоставлении субсидии, субвенции, иного межбюджетного трансферта, имеющего целевое назначение на 2023 год и плановый период 2024 и 2025 годов от 01.12.2023 г. №5157/1, 5167/1.</w:t>
      </w:r>
    </w:p>
    <w:p>
      <w:pPr>
        <w:pStyle w:val="22"/>
        <w:numPr>
          <w:ilvl w:val="0"/>
          <w:numId w:val="3"/>
        </w:numPr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Общий объем доходов в 2023 году составит 2 239 173,50690 тыс. руб., в том числе за счёт межбюджетных трансфертов, получаемых из других бюджетов бюджетной системы РФ – 1 699 536,23523 тыс. руб.;</w:t>
      </w:r>
    </w:p>
    <w:p>
      <w:pPr>
        <w:pStyle w:val="22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Общий объем расходов в сумме 2 253 893, 27412 тыс. руб.;</w:t>
      </w:r>
    </w:p>
    <w:p>
      <w:pPr>
        <w:pStyle w:val="22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Дефицит в сумме 14 719,76722 тыс. руб.</w:t>
      </w:r>
    </w:p>
    <w:p>
      <w:pPr>
        <w:pStyle w:val="22"/>
        <w:numPr>
          <w:ilvl w:val="0"/>
          <w:numId w:val="3"/>
        </w:numPr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Общий объем доходов на 2024 год составит1 468 309, 09458 тыс. руб., в том числе за счет межбюджетных трансфертов, получаемых из других бюджетов бюджетной системы РФ – 946 326, 50338 тыс. руб.; </w:t>
      </w:r>
    </w:p>
    <w:p>
      <w:pPr>
        <w:pStyle w:val="22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Общий объем расходов на 2024 составит 1 462 367,42791 тыс. руб., в том числе условно утвержденные расходы в сумме 14 000, 00 тыс. руб.;</w:t>
      </w:r>
    </w:p>
    <w:p>
      <w:pPr>
        <w:pStyle w:val="22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Профицит на 2024 год составит 5 941, 66667 тыс. руб.;</w:t>
      </w:r>
    </w:p>
    <w:p>
      <w:pPr>
        <w:pStyle w:val="22"/>
        <w:numPr>
          <w:ilvl w:val="0"/>
          <w:numId w:val="3"/>
        </w:numPr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Общий объем доходов на 2025 год составит 1 394 967,91558 тыс. руб., в том числе за счет межбюджетных трансфертов, получаемых из других бюджетов бюджетной системы РФ – 858 354,09471 тыс. руб.; </w:t>
      </w:r>
    </w:p>
    <w:p>
      <w:pPr>
        <w:pStyle w:val="22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Общий объем расходов на 2025 год составит 1 382 601,24891 тыс. руб., в том числе условно утвержденные расходы в сумме 28 000,00 тыс. руб.;</w:t>
      </w:r>
    </w:p>
    <w:p>
      <w:pPr>
        <w:pStyle w:val="22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Профицит на 2025 год в сумме 12 366, 66667 тыс. руб.</w:t>
      </w:r>
    </w:p>
    <w:p>
      <w:pPr>
        <w:pStyle w:val="22"/>
        <w:numPr>
          <w:ilvl w:val="0"/>
          <w:numId w:val="3"/>
        </w:numPr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 бюджетных ассигнований дорожного фонда муниципального образования «Ахтубинский муниципальный район Астраханской области» составит:</w:t>
      </w:r>
    </w:p>
    <w:p>
      <w:pPr>
        <w:pStyle w:val="22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2023 год в сумме 89 934 203,22 рублей; </w:t>
      </w:r>
    </w:p>
    <w:p>
      <w:pPr>
        <w:pStyle w:val="22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2024 год в сумме 82 598 623,72 рублей;</w:t>
      </w:r>
    </w:p>
    <w:p>
      <w:pPr>
        <w:pStyle w:val="22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2025 год в сумме 87 049 156,12 рублей.</w:t>
      </w:r>
    </w:p>
    <w:p>
      <w:pPr>
        <w:pStyle w:val="22"/>
        <w:numPr>
          <w:ilvl w:val="0"/>
          <w:numId w:val="3"/>
        </w:numPr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резервного фонда администрации муниципального образования «Ахтубинский район» составит:</w:t>
      </w:r>
    </w:p>
    <w:p>
      <w:pPr>
        <w:pStyle w:val="22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2023 год в сумме 1 300 000,00 рублей; </w:t>
      </w:r>
    </w:p>
    <w:p>
      <w:pPr>
        <w:pStyle w:val="22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2024 год в сумме 1 000 000,00 рублей; </w:t>
      </w:r>
    </w:p>
    <w:p>
      <w:pPr>
        <w:pStyle w:val="22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2025 год в сумме 1 000 000,00 рублей.</w:t>
      </w:r>
    </w:p>
    <w:p>
      <w:pPr>
        <w:pStyle w:val="22"/>
        <w:numPr>
          <w:ilvl w:val="0"/>
          <w:numId w:val="3"/>
        </w:numPr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Объем расходов на обслуживание муниципального долга не превышает ограничение, установленное статьёй 111 БК РФ. </w:t>
      </w:r>
    </w:p>
    <w:p>
      <w:pPr>
        <w:pStyle w:val="22"/>
        <w:numPr>
          <w:ilvl w:val="0"/>
          <w:numId w:val="3"/>
        </w:numPr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Муниципальные гарантии в проекте бюджета в 2023 год и плановом периоде 2024 и 2025 годов не предусмотрены.</w:t>
      </w:r>
    </w:p>
    <w:p>
      <w:pPr>
        <w:pStyle w:val="22"/>
        <w:numPr>
          <w:ilvl w:val="0"/>
          <w:numId w:val="3"/>
        </w:numPr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Предоставление бюджетных кредитов из бюджета МО «Ахтубинский район» бюджетам муниципальных образований Ахтубинского района, не предусмотрено.</w:t>
      </w:r>
    </w:p>
    <w:p>
      <w:pPr>
        <w:pStyle w:val="22"/>
        <w:numPr>
          <w:ilvl w:val="0"/>
          <w:numId w:val="3"/>
        </w:numPr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Верхний предел муниципального долга муниципального образования «Ахтубинский район» не превышает ограничений, установленных пункт 5 статьи 107 БК РФ.</w:t>
      </w:r>
    </w:p>
    <w:p>
      <w:pPr>
        <w:pStyle w:val="22"/>
        <w:numPr>
          <w:numId w:val="0"/>
        </w:numPr>
        <w:jc w:val="both"/>
        <w:rPr>
          <w:rFonts w:eastAsiaTheme="minorHAnsi"/>
          <w:lang w:eastAsia="en-US"/>
        </w:rPr>
      </w:pPr>
    </w:p>
    <w:p>
      <w:pPr>
        <w:pStyle w:val="22"/>
        <w:numPr>
          <w:numId w:val="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 решения Совета муниципального образования «Ахтубинский</w:t>
      </w:r>
      <w:r>
        <w:rPr>
          <w:rFonts w:hint="default" w:eastAsiaTheme="minorHAnsi"/>
          <w:lang w:val="ru-RU" w:eastAsia="en-US"/>
        </w:rPr>
        <w:t xml:space="preserve"> муниципальный</w:t>
      </w:r>
      <w:r>
        <w:rPr>
          <w:rFonts w:eastAsiaTheme="minorHAnsi"/>
          <w:lang w:eastAsia="en-US"/>
        </w:rPr>
        <w:t xml:space="preserve"> район</w:t>
      </w:r>
      <w:r>
        <w:rPr>
          <w:rFonts w:hint="default" w:eastAsiaTheme="minorHAnsi"/>
          <w:lang w:val="ru-RU" w:eastAsia="en-US"/>
        </w:rPr>
        <w:t xml:space="preserve"> Астраханской области</w:t>
      </w:r>
      <w:r>
        <w:rPr>
          <w:rFonts w:eastAsiaTheme="minorHAnsi"/>
          <w:lang w:eastAsia="en-US"/>
        </w:rPr>
        <w:t xml:space="preserve">» </w:t>
      </w:r>
      <w:r>
        <w:t>«О внесен</w:t>
      </w:r>
      <w:r>
        <w:rPr>
          <w:rFonts w:eastAsiaTheme="minorHAnsi"/>
          <w:lang w:eastAsia="en-US"/>
        </w:rPr>
        <w:t>ии изменений в решение Совета муниципального образования «Ахтубинский район» от 08.12.2022 г. № 309 «О бюджете муниципального образования «Ахтубинский муниципальный район Астраханской области» на 2023 год и на плановый период 2024 и 2025 годов»</w:t>
      </w:r>
      <w:r>
        <w:rPr>
          <w:rFonts w:hint="default" w:eastAsiaTheme="minorHAnsi"/>
          <w:lang w:val="ru-RU" w:eastAsia="en-US"/>
        </w:rPr>
        <w:t xml:space="preserve"> </w:t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lang w:val="ru-RU"/>
        </w:rPr>
        <w:t>(в ред. от 13.04.2023 г. №338, от 28.09.2023 г. №366)</w:t>
      </w:r>
      <w:r>
        <w:rPr>
          <w:rFonts w:eastAsiaTheme="minorHAnsi"/>
          <w:lang w:eastAsia="en-US"/>
        </w:rPr>
        <w:t xml:space="preserve">, Контрольно-счетная палата МО «Ахтубинский муниципальный район Астраханской области» рекомендует к рассмотрению.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КСП МО «Ахтубинский район»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Ю.Ю. Журавлева</w:t>
      </w:r>
    </w:p>
    <w:p>
      <w:pPr>
        <w:pStyle w:val="12"/>
        <w:spacing w:after="0"/>
        <w:jc w:val="both"/>
        <w:rPr>
          <w:i/>
          <w:highlight w:val="lightGray"/>
        </w:rPr>
      </w:pPr>
    </w:p>
    <w:sectPr>
      <w:headerReference r:id="rId3" w:type="default"/>
      <w:pgSz w:w="11906" w:h="16838"/>
      <w:pgMar w:top="1134" w:right="1133" w:bottom="1418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4901239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7C2167"/>
    <w:multiLevelType w:val="singleLevel"/>
    <w:tmpl w:val="B87C2167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23FB01C4"/>
    <w:multiLevelType w:val="multilevel"/>
    <w:tmpl w:val="23FB01C4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90C76"/>
    <w:multiLevelType w:val="multilevel"/>
    <w:tmpl w:val="47390C76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08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A6"/>
    <w:rsid w:val="0000139D"/>
    <w:rsid w:val="000044B8"/>
    <w:rsid w:val="00004AC5"/>
    <w:rsid w:val="00005C9C"/>
    <w:rsid w:val="000070C1"/>
    <w:rsid w:val="00010B91"/>
    <w:rsid w:val="00010E2C"/>
    <w:rsid w:val="00010FBC"/>
    <w:rsid w:val="00011021"/>
    <w:rsid w:val="000116A7"/>
    <w:rsid w:val="0001296B"/>
    <w:rsid w:val="000138C3"/>
    <w:rsid w:val="000146A8"/>
    <w:rsid w:val="000148E7"/>
    <w:rsid w:val="000151C7"/>
    <w:rsid w:val="00016D2E"/>
    <w:rsid w:val="00017103"/>
    <w:rsid w:val="00017E19"/>
    <w:rsid w:val="0002625A"/>
    <w:rsid w:val="0002641E"/>
    <w:rsid w:val="00026B24"/>
    <w:rsid w:val="00026F54"/>
    <w:rsid w:val="0002723F"/>
    <w:rsid w:val="000314D1"/>
    <w:rsid w:val="00033444"/>
    <w:rsid w:val="00034464"/>
    <w:rsid w:val="00034A55"/>
    <w:rsid w:val="00034CAA"/>
    <w:rsid w:val="00034E4A"/>
    <w:rsid w:val="00035DC3"/>
    <w:rsid w:val="00036661"/>
    <w:rsid w:val="00037064"/>
    <w:rsid w:val="00037DDF"/>
    <w:rsid w:val="000400B4"/>
    <w:rsid w:val="00041F88"/>
    <w:rsid w:val="000424F5"/>
    <w:rsid w:val="00042B36"/>
    <w:rsid w:val="00042CEB"/>
    <w:rsid w:val="00044333"/>
    <w:rsid w:val="00044469"/>
    <w:rsid w:val="0004785E"/>
    <w:rsid w:val="00052B6B"/>
    <w:rsid w:val="00053307"/>
    <w:rsid w:val="00054C43"/>
    <w:rsid w:val="00056422"/>
    <w:rsid w:val="00056EC3"/>
    <w:rsid w:val="00057470"/>
    <w:rsid w:val="00057C4E"/>
    <w:rsid w:val="00060941"/>
    <w:rsid w:val="00060C83"/>
    <w:rsid w:val="00062C34"/>
    <w:rsid w:val="000630DF"/>
    <w:rsid w:val="000635A0"/>
    <w:rsid w:val="00063F53"/>
    <w:rsid w:val="00066F2A"/>
    <w:rsid w:val="00067068"/>
    <w:rsid w:val="0007272D"/>
    <w:rsid w:val="00072CF6"/>
    <w:rsid w:val="00073C49"/>
    <w:rsid w:val="00075814"/>
    <w:rsid w:val="00075963"/>
    <w:rsid w:val="00076062"/>
    <w:rsid w:val="0007633C"/>
    <w:rsid w:val="00081297"/>
    <w:rsid w:val="000831F1"/>
    <w:rsid w:val="00083D6F"/>
    <w:rsid w:val="000846A5"/>
    <w:rsid w:val="000902C1"/>
    <w:rsid w:val="00091430"/>
    <w:rsid w:val="00091967"/>
    <w:rsid w:val="00091E1F"/>
    <w:rsid w:val="00092E6E"/>
    <w:rsid w:val="000A090C"/>
    <w:rsid w:val="000A1566"/>
    <w:rsid w:val="000A1928"/>
    <w:rsid w:val="000A647F"/>
    <w:rsid w:val="000A7734"/>
    <w:rsid w:val="000B01C4"/>
    <w:rsid w:val="000B0EF7"/>
    <w:rsid w:val="000B2D40"/>
    <w:rsid w:val="000B4E31"/>
    <w:rsid w:val="000B5704"/>
    <w:rsid w:val="000B5DBC"/>
    <w:rsid w:val="000B6317"/>
    <w:rsid w:val="000B63F1"/>
    <w:rsid w:val="000B7109"/>
    <w:rsid w:val="000B777E"/>
    <w:rsid w:val="000C18FD"/>
    <w:rsid w:val="000C2570"/>
    <w:rsid w:val="000C3A7B"/>
    <w:rsid w:val="000C6C44"/>
    <w:rsid w:val="000D24F4"/>
    <w:rsid w:val="000D43CC"/>
    <w:rsid w:val="000D589E"/>
    <w:rsid w:val="000D5A65"/>
    <w:rsid w:val="000E04C1"/>
    <w:rsid w:val="000E04F0"/>
    <w:rsid w:val="000E0A3A"/>
    <w:rsid w:val="000E239E"/>
    <w:rsid w:val="000E4A48"/>
    <w:rsid w:val="000E57CE"/>
    <w:rsid w:val="000E58BE"/>
    <w:rsid w:val="000F118D"/>
    <w:rsid w:val="000F5827"/>
    <w:rsid w:val="0010094A"/>
    <w:rsid w:val="001017C8"/>
    <w:rsid w:val="00102729"/>
    <w:rsid w:val="001029AA"/>
    <w:rsid w:val="00103E62"/>
    <w:rsid w:val="00104E23"/>
    <w:rsid w:val="001051D7"/>
    <w:rsid w:val="00106252"/>
    <w:rsid w:val="00106D2B"/>
    <w:rsid w:val="00111658"/>
    <w:rsid w:val="00115B3A"/>
    <w:rsid w:val="00120F77"/>
    <w:rsid w:val="001214D1"/>
    <w:rsid w:val="00122250"/>
    <w:rsid w:val="00122D37"/>
    <w:rsid w:val="00123BC1"/>
    <w:rsid w:val="00123E22"/>
    <w:rsid w:val="00124148"/>
    <w:rsid w:val="00124A4E"/>
    <w:rsid w:val="001256EF"/>
    <w:rsid w:val="00125810"/>
    <w:rsid w:val="00127B7E"/>
    <w:rsid w:val="00127EFE"/>
    <w:rsid w:val="00130CAD"/>
    <w:rsid w:val="00131065"/>
    <w:rsid w:val="00132434"/>
    <w:rsid w:val="0013340B"/>
    <w:rsid w:val="001347FB"/>
    <w:rsid w:val="001371EA"/>
    <w:rsid w:val="001406B8"/>
    <w:rsid w:val="0014202F"/>
    <w:rsid w:val="00142113"/>
    <w:rsid w:val="001428E7"/>
    <w:rsid w:val="00142E5E"/>
    <w:rsid w:val="00143361"/>
    <w:rsid w:val="001436FD"/>
    <w:rsid w:val="001453F3"/>
    <w:rsid w:val="00145AED"/>
    <w:rsid w:val="00145FAC"/>
    <w:rsid w:val="00150977"/>
    <w:rsid w:val="0015103E"/>
    <w:rsid w:val="0015167A"/>
    <w:rsid w:val="00151D04"/>
    <w:rsid w:val="00152805"/>
    <w:rsid w:val="001532AF"/>
    <w:rsid w:val="00153F66"/>
    <w:rsid w:val="00155640"/>
    <w:rsid w:val="00161C93"/>
    <w:rsid w:val="00162C62"/>
    <w:rsid w:val="00170A35"/>
    <w:rsid w:val="00170EC2"/>
    <w:rsid w:val="00172A27"/>
    <w:rsid w:val="00175E6D"/>
    <w:rsid w:val="001767F3"/>
    <w:rsid w:val="00177DF9"/>
    <w:rsid w:val="00183022"/>
    <w:rsid w:val="00184C6A"/>
    <w:rsid w:val="00184C9E"/>
    <w:rsid w:val="0018582A"/>
    <w:rsid w:val="00186C2B"/>
    <w:rsid w:val="00186EAC"/>
    <w:rsid w:val="00187685"/>
    <w:rsid w:val="00191436"/>
    <w:rsid w:val="00191697"/>
    <w:rsid w:val="001920CC"/>
    <w:rsid w:val="00194106"/>
    <w:rsid w:val="00194DF6"/>
    <w:rsid w:val="001A040A"/>
    <w:rsid w:val="001A186D"/>
    <w:rsid w:val="001A3F2B"/>
    <w:rsid w:val="001A55AD"/>
    <w:rsid w:val="001A64EA"/>
    <w:rsid w:val="001B2CBC"/>
    <w:rsid w:val="001B35D7"/>
    <w:rsid w:val="001C0BC1"/>
    <w:rsid w:val="001C126E"/>
    <w:rsid w:val="001C50B2"/>
    <w:rsid w:val="001C6E1F"/>
    <w:rsid w:val="001C77A8"/>
    <w:rsid w:val="001D0813"/>
    <w:rsid w:val="001D1650"/>
    <w:rsid w:val="001D21B3"/>
    <w:rsid w:val="001D3061"/>
    <w:rsid w:val="001D361C"/>
    <w:rsid w:val="001D4569"/>
    <w:rsid w:val="001D57D3"/>
    <w:rsid w:val="001D5B7A"/>
    <w:rsid w:val="001E011F"/>
    <w:rsid w:val="001E077D"/>
    <w:rsid w:val="001E154F"/>
    <w:rsid w:val="001E55B3"/>
    <w:rsid w:val="001E5DD4"/>
    <w:rsid w:val="001F1757"/>
    <w:rsid w:val="001F2AB7"/>
    <w:rsid w:val="001F3178"/>
    <w:rsid w:val="001F36D7"/>
    <w:rsid w:val="001F6A3C"/>
    <w:rsid w:val="001F76EE"/>
    <w:rsid w:val="00206EF1"/>
    <w:rsid w:val="0021093B"/>
    <w:rsid w:val="00213C54"/>
    <w:rsid w:val="0021400B"/>
    <w:rsid w:val="00214518"/>
    <w:rsid w:val="002230E9"/>
    <w:rsid w:val="0022355F"/>
    <w:rsid w:val="002245C0"/>
    <w:rsid w:val="002253B5"/>
    <w:rsid w:val="0022548F"/>
    <w:rsid w:val="0022650E"/>
    <w:rsid w:val="002334DC"/>
    <w:rsid w:val="00235F1B"/>
    <w:rsid w:val="002372A7"/>
    <w:rsid w:val="00240240"/>
    <w:rsid w:val="0024121C"/>
    <w:rsid w:val="00241756"/>
    <w:rsid w:val="00242EB1"/>
    <w:rsid w:val="00243306"/>
    <w:rsid w:val="00245AB3"/>
    <w:rsid w:val="00246C4C"/>
    <w:rsid w:val="002531B2"/>
    <w:rsid w:val="00255D52"/>
    <w:rsid w:val="002576C5"/>
    <w:rsid w:val="0026024C"/>
    <w:rsid w:val="00261DA4"/>
    <w:rsid w:val="00261DC8"/>
    <w:rsid w:val="002658F9"/>
    <w:rsid w:val="00265A58"/>
    <w:rsid w:val="00265A96"/>
    <w:rsid w:val="00266C95"/>
    <w:rsid w:val="00266EB3"/>
    <w:rsid w:val="00270CFF"/>
    <w:rsid w:val="002710A7"/>
    <w:rsid w:val="00271E46"/>
    <w:rsid w:val="00272389"/>
    <w:rsid w:val="002725EF"/>
    <w:rsid w:val="002731B7"/>
    <w:rsid w:val="00275E8E"/>
    <w:rsid w:val="00276A33"/>
    <w:rsid w:val="00276C7E"/>
    <w:rsid w:val="002804CF"/>
    <w:rsid w:val="002824D0"/>
    <w:rsid w:val="00285B2C"/>
    <w:rsid w:val="002866B6"/>
    <w:rsid w:val="002925A6"/>
    <w:rsid w:val="0029486A"/>
    <w:rsid w:val="00295C36"/>
    <w:rsid w:val="00296C99"/>
    <w:rsid w:val="002A03FC"/>
    <w:rsid w:val="002A0964"/>
    <w:rsid w:val="002A4F8E"/>
    <w:rsid w:val="002A5367"/>
    <w:rsid w:val="002A5CBB"/>
    <w:rsid w:val="002A7978"/>
    <w:rsid w:val="002B0E87"/>
    <w:rsid w:val="002B4EE2"/>
    <w:rsid w:val="002B7267"/>
    <w:rsid w:val="002B7CD9"/>
    <w:rsid w:val="002C0EE8"/>
    <w:rsid w:val="002C137D"/>
    <w:rsid w:val="002C1515"/>
    <w:rsid w:val="002C174B"/>
    <w:rsid w:val="002C17FC"/>
    <w:rsid w:val="002C2A03"/>
    <w:rsid w:val="002C4FD4"/>
    <w:rsid w:val="002D0CF3"/>
    <w:rsid w:val="002D0D81"/>
    <w:rsid w:val="002D29B5"/>
    <w:rsid w:val="002D3668"/>
    <w:rsid w:val="002D40E4"/>
    <w:rsid w:val="002D43DF"/>
    <w:rsid w:val="002D4464"/>
    <w:rsid w:val="002D4E2C"/>
    <w:rsid w:val="002D5215"/>
    <w:rsid w:val="002D5D73"/>
    <w:rsid w:val="002D6802"/>
    <w:rsid w:val="002D6B4A"/>
    <w:rsid w:val="002E0ADF"/>
    <w:rsid w:val="002E5514"/>
    <w:rsid w:val="002E638F"/>
    <w:rsid w:val="002E6F40"/>
    <w:rsid w:val="002F06A5"/>
    <w:rsid w:val="002F6278"/>
    <w:rsid w:val="002F73E6"/>
    <w:rsid w:val="00300A85"/>
    <w:rsid w:val="00302041"/>
    <w:rsid w:val="003020E2"/>
    <w:rsid w:val="003029AC"/>
    <w:rsid w:val="003043C1"/>
    <w:rsid w:val="003115E6"/>
    <w:rsid w:val="003121A6"/>
    <w:rsid w:val="0031405C"/>
    <w:rsid w:val="00314C48"/>
    <w:rsid w:val="003151AB"/>
    <w:rsid w:val="00315435"/>
    <w:rsid w:val="0031608D"/>
    <w:rsid w:val="00316E16"/>
    <w:rsid w:val="00317018"/>
    <w:rsid w:val="00317148"/>
    <w:rsid w:val="00317416"/>
    <w:rsid w:val="00317A4F"/>
    <w:rsid w:val="003200C5"/>
    <w:rsid w:val="00323BEE"/>
    <w:rsid w:val="0032629C"/>
    <w:rsid w:val="00327CFD"/>
    <w:rsid w:val="00336F34"/>
    <w:rsid w:val="00342052"/>
    <w:rsid w:val="00345431"/>
    <w:rsid w:val="0034689E"/>
    <w:rsid w:val="003544F6"/>
    <w:rsid w:val="003561D4"/>
    <w:rsid w:val="0036087F"/>
    <w:rsid w:val="00360CFF"/>
    <w:rsid w:val="00360D41"/>
    <w:rsid w:val="00361816"/>
    <w:rsid w:val="003635BE"/>
    <w:rsid w:val="003643E1"/>
    <w:rsid w:val="00364FDF"/>
    <w:rsid w:val="00366336"/>
    <w:rsid w:val="00371BB6"/>
    <w:rsid w:val="00371E95"/>
    <w:rsid w:val="003735FC"/>
    <w:rsid w:val="00375490"/>
    <w:rsid w:val="0037557F"/>
    <w:rsid w:val="00380A8E"/>
    <w:rsid w:val="00380E0B"/>
    <w:rsid w:val="00381CFB"/>
    <w:rsid w:val="00381EC6"/>
    <w:rsid w:val="003853DA"/>
    <w:rsid w:val="00385EE6"/>
    <w:rsid w:val="00391FBB"/>
    <w:rsid w:val="00392D4C"/>
    <w:rsid w:val="003931D3"/>
    <w:rsid w:val="00393F11"/>
    <w:rsid w:val="003941D6"/>
    <w:rsid w:val="00397E5D"/>
    <w:rsid w:val="003A00A1"/>
    <w:rsid w:val="003A157F"/>
    <w:rsid w:val="003A2A3B"/>
    <w:rsid w:val="003A368A"/>
    <w:rsid w:val="003A4836"/>
    <w:rsid w:val="003A484D"/>
    <w:rsid w:val="003A4954"/>
    <w:rsid w:val="003A4E5C"/>
    <w:rsid w:val="003A5040"/>
    <w:rsid w:val="003A6550"/>
    <w:rsid w:val="003B3458"/>
    <w:rsid w:val="003B428B"/>
    <w:rsid w:val="003B6FF6"/>
    <w:rsid w:val="003C1629"/>
    <w:rsid w:val="003C2FA6"/>
    <w:rsid w:val="003D0791"/>
    <w:rsid w:val="003D230C"/>
    <w:rsid w:val="003D2393"/>
    <w:rsid w:val="003D3282"/>
    <w:rsid w:val="003D6092"/>
    <w:rsid w:val="003D7A8D"/>
    <w:rsid w:val="003E0DAE"/>
    <w:rsid w:val="003E2204"/>
    <w:rsid w:val="003E4F63"/>
    <w:rsid w:val="003E64C1"/>
    <w:rsid w:val="003E702B"/>
    <w:rsid w:val="003E7A56"/>
    <w:rsid w:val="003F112A"/>
    <w:rsid w:val="003F41B1"/>
    <w:rsid w:val="003F475A"/>
    <w:rsid w:val="003F5725"/>
    <w:rsid w:val="003F643A"/>
    <w:rsid w:val="003F6FBD"/>
    <w:rsid w:val="004005ED"/>
    <w:rsid w:val="00400C2A"/>
    <w:rsid w:val="004030BB"/>
    <w:rsid w:val="00403BF6"/>
    <w:rsid w:val="00406AF0"/>
    <w:rsid w:val="004075CF"/>
    <w:rsid w:val="004077BC"/>
    <w:rsid w:val="00407FB5"/>
    <w:rsid w:val="004103A7"/>
    <w:rsid w:val="004103C6"/>
    <w:rsid w:val="00413AB1"/>
    <w:rsid w:val="00414628"/>
    <w:rsid w:val="004216EF"/>
    <w:rsid w:val="00426487"/>
    <w:rsid w:val="004265C5"/>
    <w:rsid w:val="0043050B"/>
    <w:rsid w:val="004341FA"/>
    <w:rsid w:val="00435779"/>
    <w:rsid w:val="00440391"/>
    <w:rsid w:val="004404E3"/>
    <w:rsid w:val="00443357"/>
    <w:rsid w:val="00444FB4"/>
    <w:rsid w:val="00451DAC"/>
    <w:rsid w:val="004520ED"/>
    <w:rsid w:val="004552A7"/>
    <w:rsid w:val="00456C08"/>
    <w:rsid w:val="00457356"/>
    <w:rsid w:val="00464992"/>
    <w:rsid w:val="00465E70"/>
    <w:rsid w:val="004663A2"/>
    <w:rsid w:val="00472DFC"/>
    <w:rsid w:val="00473790"/>
    <w:rsid w:val="0047397D"/>
    <w:rsid w:val="004756D8"/>
    <w:rsid w:val="00476794"/>
    <w:rsid w:val="00477B5A"/>
    <w:rsid w:val="00481517"/>
    <w:rsid w:val="00481AC3"/>
    <w:rsid w:val="004825A1"/>
    <w:rsid w:val="00482FA7"/>
    <w:rsid w:val="00484F5D"/>
    <w:rsid w:val="00487346"/>
    <w:rsid w:val="00487BE6"/>
    <w:rsid w:val="00487CA9"/>
    <w:rsid w:val="004912E2"/>
    <w:rsid w:val="004918F5"/>
    <w:rsid w:val="00494473"/>
    <w:rsid w:val="00495735"/>
    <w:rsid w:val="0049693F"/>
    <w:rsid w:val="00496B1F"/>
    <w:rsid w:val="004A0EE9"/>
    <w:rsid w:val="004A18B9"/>
    <w:rsid w:val="004A4119"/>
    <w:rsid w:val="004B1A26"/>
    <w:rsid w:val="004B2B2B"/>
    <w:rsid w:val="004B32AC"/>
    <w:rsid w:val="004B78EE"/>
    <w:rsid w:val="004C1422"/>
    <w:rsid w:val="004C1F7A"/>
    <w:rsid w:val="004C4B34"/>
    <w:rsid w:val="004C593A"/>
    <w:rsid w:val="004C620F"/>
    <w:rsid w:val="004C635F"/>
    <w:rsid w:val="004C7B66"/>
    <w:rsid w:val="004D18E7"/>
    <w:rsid w:val="004D1ACA"/>
    <w:rsid w:val="004D2FFE"/>
    <w:rsid w:val="004D5EC7"/>
    <w:rsid w:val="004D62BD"/>
    <w:rsid w:val="004D7916"/>
    <w:rsid w:val="004E0841"/>
    <w:rsid w:val="004E2F20"/>
    <w:rsid w:val="004E4A7D"/>
    <w:rsid w:val="004E4C16"/>
    <w:rsid w:val="004F06F8"/>
    <w:rsid w:val="004F3017"/>
    <w:rsid w:val="004F6CBC"/>
    <w:rsid w:val="005044C6"/>
    <w:rsid w:val="0051165A"/>
    <w:rsid w:val="00512936"/>
    <w:rsid w:val="00512991"/>
    <w:rsid w:val="00512DBB"/>
    <w:rsid w:val="005132D0"/>
    <w:rsid w:val="00521A5E"/>
    <w:rsid w:val="00521B00"/>
    <w:rsid w:val="005246AE"/>
    <w:rsid w:val="00525591"/>
    <w:rsid w:val="00526A89"/>
    <w:rsid w:val="00530208"/>
    <w:rsid w:val="00531941"/>
    <w:rsid w:val="00531A82"/>
    <w:rsid w:val="00533A16"/>
    <w:rsid w:val="005349BA"/>
    <w:rsid w:val="0053524D"/>
    <w:rsid w:val="00537371"/>
    <w:rsid w:val="00537534"/>
    <w:rsid w:val="00537A3D"/>
    <w:rsid w:val="00541F5A"/>
    <w:rsid w:val="00543492"/>
    <w:rsid w:val="0054382B"/>
    <w:rsid w:val="005441D7"/>
    <w:rsid w:val="00545B93"/>
    <w:rsid w:val="00546E85"/>
    <w:rsid w:val="005473AD"/>
    <w:rsid w:val="005473DB"/>
    <w:rsid w:val="0056107B"/>
    <w:rsid w:val="00562AEB"/>
    <w:rsid w:val="00562E93"/>
    <w:rsid w:val="0056477F"/>
    <w:rsid w:val="005653E6"/>
    <w:rsid w:val="00566251"/>
    <w:rsid w:val="00567965"/>
    <w:rsid w:val="00567D71"/>
    <w:rsid w:val="005706A7"/>
    <w:rsid w:val="0057124B"/>
    <w:rsid w:val="00571728"/>
    <w:rsid w:val="005725BC"/>
    <w:rsid w:val="005741B7"/>
    <w:rsid w:val="0057522F"/>
    <w:rsid w:val="00577C1C"/>
    <w:rsid w:val="00580098"/>
    <w:rsid w:val="00580582"/>
    <w:rsid w:val="00580FE5"/>
    <w:rsid w:val="00581F94"/>
    <w:rsid w:val="00584009"/>
    <w:rsid w:val="00584AED"/>
    <w:rsid w:val="00584BBC"/>
    <w:rsid w:val="005867A2"/>
    <w:rsid w:val="00586A64"/>
    <w:rsid w:val="005902F1"/>
    <w:rsid w:val="00590883"/>
    <w:rsid w:val="0059221E"/>
    <w:rsid w:val="00594156"/>
    <w:rsid w:val="005952C0"/>
    <w:rsid w:val="00596538"/>
    <w:rsid w:val="005A26E6"/>
    <w:rsid w:val="005A3162"/>
    <w:rsid w:val="005A372E"/>
    <w:rsid w:val="005A3F03"/>
    <w:rsid w:val="005A6EC0"/>
    <w:rsid w:val="005B0352"/>
    <w:rsid w:val="005B0C59"/>
    <w:rsid w:val="005B14BA"/>
    <w:rsid w:val="005B36B7"/>
    <w:rsid w:val="005B393C"/>
    <w:rsid w:val="005B5B21"/>
    <w:rsid w:val="005B5CDA"/>
    <w:rsid w:val="005B5EFD"/>
    <w:rsid w:val="005B6B6B"/>
    <w:rsid w:val="005C03F9"/>
    <w:rsid w:val="005C1857"/>
    <w:rsid w:val="005C1EAC"/>
    <w:rsid w:val="005C4715"/>
    <w:rsid w:val="005C5EB6"/>
    <w:rsid w:val="005C6474"/>
    <w:rsid w:val="005C7A80"/>
    <w:rsid w:val="005D33AE"/>
    <w:rsid w:val="005D4881"/>
    <w:rsid w:val="005D6DD5"/>
    <w:rsid w:val="005E131B"/>
    <w:rsid w:val="005E1D9B"/>
    <w:rsid w:val="005E3032"/>
    <w:rsid w:val="005E407F"/>
    <w:rsid w:val="005E538D"/>
    <w:rsid w:val="005E5E60"/>
    <w:rsid w:val="005F1AEE"/>
    <w:rsid w:val="005F4BA9"/>
    <w:rsid w:val="005F593F"/>
    <w:rsid w:val="005F5B40"/>
    <w:rsid w:val="005F62A0"/>
    <w:rsid w:val="005F6EA2"/>
    <w:rsid w:val="006013F2"/>
    <w:rsid w:val="00601743"/>
    <w:rsid w:val="00601A26"/>
    <w:rsid w:val="00601EB2"/>
    <w:rsid w:val="006030AA"/>
    <w:rsid w:val="00604054"/>
    <w:rsid w:val="006126D7"/>
    <w:rsid w:val="00614E6C"/>
    <w:rsid w:val="00615AEA"/>
    <w:rsid w:val="006163A1"/>
    <w:rsid w:val="00617779"/>
    <w:rsid w:val="00620950"/>
    <w:rsid w:val="00621807"/>
    <w:rsid w:val="00622328"/>
    <w:rsid w:val="00624FC9"/>
    <w:rsid w:val="00631009"/>
    <w:rsid w:val="00635021"/>
    <w:rsid w:val="00635DD4"/>
    <w:rsid w:val="00635FA3"/>
    <w:rsid w:val="00636333"/>
    <w:rsid w:val="00636E52"/>
    <w:rsid w:val="006404C7"/>
    <w:rsid w:val="00640BF8"/>
    <w:rsid w:val="00643651"/>
    <w:rsid w:val="006442D2"/>
    <w:rsid w:val="006443FA"/>
    <w:rsid w:val="00644949"/>
    <w:rsid w:val="0064786E"/>
    <w:rsid w:val="006531DD"/>
    <w:rsid w:val="006539B4"/>
    <w:rsid w:val="00653B57"/>
    <w:rsid w:val="006545D5"/>
    <w:rsid w:val="00654A3B"/>
    <w:rsid w:val="00655984"/>
    <w:rsid w:val="00655ABD"/>
    <w:rsid w:val="00655D1E"/>
    <w:rsid w:val="00656BC3"/>
    <w:rsid w:val="006578B4"/>
    <w:rsid w:val="00662C7B"/>
    <w:rsid w:val="006631A0"/>
    <w:rsid w:val="00665271"/>
    <w:rsid w:val="0067037E"/>
    <w:rsid w:val="00670A20"/>
    <w:rsid w:val="006711F2"/>
    <w:rsid w:val="006716BB"/>
    <w:rsid w:val="00672CA6"/>
    <w:rsid w:val="00672FAD"/>
    <w:rsid w:val="00673E60"/>
    <w:rsid w:val="0067585B"/>
    <w:rsid w:val="0067629A"/>
    <w:rsid w:val="00676A2C"/>
    <w:rsid w:val="00676A4B"/>
    <w:rsid w:val="00680571"/>
    <w:rsid w:val="006820D8"/>
    <w:rsid w:val="00683659"/>
    <w:rsid w:val="006839E2"/>
    <w:rsid w:val="00684F57"/>
    <w:rsid w:val="0068656B"/>
    <w:rsid w:val="00690C6B"/>
    <w:rsid w:val="00691189"/>
    <w:rsid w:val="0069552F"/>
    <w:rsid w:val="00695534"/>
    <w:rsid w:val="006A2AEB"/>
    <w:rsid w:val="006A32D5"/>
    <w:rsid w:val="006A3819"/>
    <w:rsid w:val="006A40D8"/>
    <w:rsid w:val="006A7044"/>
    <w:rsid w:val="006B388A"/>
    <w:rsid w:val="006B4012"/>
    <w:rsid w:val="006B404F"/>
    <w:rsid w:val="006B5179"/>
    <w:rsid w:val="006B56AC"/>
    <w:rsid w:val="006B63A9"/>
    <w:rsid w:val="006B6FDF"/>
    <w:rsid w:val="006B70F1"/>
    <w:rsid w:val="006C064D"/>
    <w:rsid w:val="006C3DAA"/>
    <w:rsid w:val="006C5478"/>
    <w:rsid w:val="006C767F"/>
    <w:rsid w:val="006D0559"/>
    <w:rsid w:val="006D3BA7"/>
    <w:rsid w:val="006D3FF2"/>
    <w:rsid w:val="006D446F"/>
    <w:rsid w:val="006D54D1"/>
    <w:rsid w:val="006E2298"/>
    <w:rsid w:val="006E237F"/>
    <w:rsid w:val="006E23F8"/>
    <w:rsid w:val="006E2AB6"/>
    <w:rsid w:val="006E7494"/>
    <w:rsid w:val="006F1346"/>
    <w:rsid w:val="006F5456"/>
    <w:rsid w:val="006F64AD"/>
    <w:rsid w:val="006F7B09"/>
    <w:rsid w:val="006F7B4D"/>
    <w:rsid w:val="00702B47"/>
    <w:rsid w:val="0071200F"/>
    <w:rsid w:val="0071257E"/>
    <w:rsid w:val="007142BC"/>
    <w:rsid w:val="0071544D"/>
    <w:rsid w:val="0071550B"/>
    <w:rsid w:val="00715ACC"/>
    <w:rsid w:val="0072097A"/>
    <w:rsid w:val="00721146"/>
    <w:rsid w:val="0072396E"/>
    <w:rsid w:val="007245E2"/>
    <w:rsid w:val="00730796"/>
    <w:rsid w:val="00731567"/>
    <w:rsid w:val="00731DDE"/>
    <w:rsid w:val="0073317D"/>
    <w:rsid w:val="00733EF1"/>
    <w:rsid w:val="0073415A"/>
    <w:rsid w:val="00740050"/>
    <w:rsid w:val="00740527"/>
    <w:rsid w:val="00740C9B"/>
    <w:rsid w:val="00741295"/>
    <w:rsid w:val="00742DC9"/>
    <w:rsid w:val="00743382"/>
    <w:rsid w:val="00744EFC"/>
    <w:rsid w:val="007477B6"/>
    <w:rsid w:val="0075098E"/>
    <w:rsid w:val="00751682"/>
    <w:rsid w:val="007516D2"/>
    <w:rsid w:val="007550F9"/>
    <w:rsid w:val="007600A5"/>
    <w:rsid w:val="0076084C"/>
    <w:rsid w:val="00766BD9"/>
    <w:rsid w:val="00767F60"/>
    <w:rsid w:val="00770590"/>
    <w:rsid w:val="00770D8C"/>
    <w:rsid w:val="007715C6"/>
    <w:rsid w:val="00774373"/>
    <w:rsid w:val="00775969"/>
    <w:rsid w:val="00777ECB"/>
    <w:rsid w:val="007809B3"/>
    <w:rsid w:val="007829B7"/>
    <w:rsid w:val="0078387F"/>
    <w:rsid w:val="00784C1C"/>
    <w:rsid w:val="00785701"/>
    <w:rsid w:val="00785CA9"/>
    <w:rsid w:val="00790BAF"/>
    <w:rsid w:val="00791C5A"/>
    <w:rsid w:val="00794858"/>
    <w:rsid w:val="0079526F"/>
    <w:rsid w:val="007A07F8"/>
    <w:rsid w:val="007A0E30"/>
    <w:rsid w:val="007A1B17"/>
    <w:rsid w:val="007A3696"/>
    <w:rsid w:val="007A4A6A"/>
    <w:rsid w:val="007A69FE"/>
    <w:rsid w:val="007A6E5F"/>
    <w:rsid w:val="007B0B6B"/>
    <w:rsid w:val="007B24C1"/>
    <w:rsid w:val="007B27F1"/>
    <w:rsid w:val="007B2EB6"/>
    <w:rsid w:val="007B520B"/>
    <w:rsid w:val="007B6BF4"/>
    <w:rsid w:val="007C0DDD"/>
    <w:rsid w:val="007C18FA"/>
    <w:rsid w:val="007C3400"/>
    <w:rsid w:val="007C4D29"/>
    <w:rsid w:val="007D1E44"/>
    <w:rsid w:val="007D6497"/>
    <w:rsid w:val="007D6819"/>
    <w:rsid w:val="007E162A"/>
    <w:rsid w:val="007E1BE3"/>
    <w:rsid w:val="007E20B6"/>
    <w:rsid w:val="007E2B96"/>
    <w:rsid w:val="007E549E"/>
    <w:rsid w:val="007E5B7E"/>
    <w:rsid w:val="007E69BF"/>
    <w:rsid w:val="007E6A88"/>
    <w:rsid w:val="007F4A64"/>
    <w:rsid w:val="007F4D4F"/>
    <w:rsid w:val="007F5C3C"/>
    <w:rsid w:val="008000A0"/>
    <w:rsid w:val="00800E10"/>
    <w:rsid w:val="0080282D"/>
    <w:rsid w:val="00802B91"/>
    <w:rsid w:val="00804E42"/>
    <w:rsid w:val="00810C70"/>
    <w:rsid w:val="00813FD1"/>
    <w:rsid w:val="0081426F"/>
    <w:rsid w:val="00816378"/>
    <w:rsid w:val="0082033D"/>
    <w:rsid w:val="008214AA"/>
    <w:rsid w:val="0082237D"/>
    <w:rsid w:val="00822827"/>
    <w:rsid w:val="00825792"/>
    <w:rsid w:val="00826933"/>
    <w:rsid w:val="00827259"/>
    <w:rsid w:val="00827E0E"/>
    <w:rsid w:val="0083237F"/>
    <w:rsid w:val="008335DA"/>
    <w:rsid w:val="00833828"/>
    <w:rsid w:val="00834102"/>
    <w:rsid w:val="00835C99"/>
    <w:rsid w:val="00837146"/>
    <w:rsid w:val="0084099B"/>
    <w:rsid w:val="00840BCA"/>
    <w:rsid w:val="00841C68"/>
    <w:rsid w:val="0084263E"/>
    <w:rsid w:val="00843A31"/>
    <w:rsid w:val="00847362"/>
    <w:rsid w:val="008517FB"/>
    <w:rsid w:val="008532E4"/>
    <w:rsid w:val="00856495"/>
    <w:rsid w:val="00856B5D"/>
    <w:rsid w:val="008571C7"/>
    <w:rsid w:val="0085798C"/>
    <w:rsid w:val="008607FE"/>
    <w:rsid w:val="0086085E"/>
    <w:rsid w:val="00860EBE"/>
    <w:rsid w:val="0086264D"/>
    <w:rsid w:val="00862B3A"/>
    <w:rsid w:val="00862F8C"/>
    <w:rsid w:val="00864423"/>
    <w:rsid w:val="008645AC"/>
    <w:rsid w:val="008714AC"/>
    <w:rsid w:val="00872658"/>
    <w:rsid w:val="0087294F"/>
    <w:rsid w:val="0087755D"/>
    <w:rsid w:val="00881D2D"/>
    <w:rsid w:val="00882AFA"/>
    <w:rsid w:val="00882BD0"/>
    <w:rsid w:val="008831F2"/>
    <w:rsid w:val="00883449"/>
    <w:rsid w:val="00884A9B"/>
    <w:rsid w:val="008916F5"/>
    <w:rsid w:val="0089329E"/>
    <w:rsid w:val="00894615"/>
    <w:rsid w:val="00895A8A"/>
    <w:rsid w:val="00896312"/>
    <w:rsid w:val="008963A1"/>
    <w:rsid w:val="008969C5"/>
    <w:rsid w:val="008A0236"/>
    <w:rsid w:val="008A027F"/>
    <w:rsid w:val="008A0784"/>
    <w:rsid w:val="008A1C49"/>
    <w:rsid w:val="008A3980"/>
    <w:rsid w:val="008A5645"/>
    <w:rsid w:val="008A6491"/>
    <w:rsid w:val="008A6F61"/>
    <w:rsid w:val="008A7245"/>
    <w:rsid w:val="008B035D"/>
    <w:rsid w:val="008B0459"/>
    <w:rsid w:val="008B0CB6"/>
    <w:rsid w:val="008B167B"/>
    <w:rsid w:val="008B31A5"/>
    <w:rsid w:val="008B3BCA"/>
    <w:rsid w:val="008B3F4A"/>
    <w:rsid w:val="008B4A0B"/>
    <w:rsid w:val="008B6EB4"/>
    <w:rsid w:val="008B7ABC"/>
    <w:rsid w:val="008C0D75"/>
    <w:rsid w:val="008C3513"/>
    <w:rsid w:val="008D0E7E"/>
    <w:rsid w:val="008D14F7"/>
    <w:rsid w:val="008D38A3"/>
    <w:rsid w:val="008D4214"/>
    <w:rsid w:val="008D5903"/>
    <w:rsid w:val="008D6D6E"/>
    <w:rsid w:val="008E040B"/>
    <w:rsid w:val="008E1E00"/>
    <w:rsid w:val="008E2644"/>
    <w:rsid w:val="008E3253"/>
    <w:rsid w:val="008E39E9"/>
    <w:rsid w:val="008E408A"/>
    <w:rsid w:val="008E4969"/>
    <w:rsid w:val="008E517C"/>
    <w:rsid w:val="008E71AE"/>
    <w:rsid w:val="008F28FE"/>
    <w:rsid w:val="008F4168"/>
    <w:rsid w:val="008F5760"/>
    <w:rsid w:val="00903CD4"/>
    <w:rsid w:val="00903DDF"/>
    <w:rsid w:val="00907824"/>
    <w:rsid w:val="00910511"/>
    <w:rsid w:val="0091127D"/>
    <w:rsid w:val="009128B4"/>
    <w:rsid w:val="00916E2E"/>
    <w:rsid w:val="00917575"/>
    <w:rsid w:val="00920D82"/>
    <w:rsid w:val="00922A04"/>
    <w:rsid w:val="009231F0"/>
    <w:rsid w:val="00923BE0"/>
    <w:rsid w:val="009254EE"/>
    <w:rsid w:val="0092723E"/>
    <w:rsid w:val="0093025F"/>
    <w:rsid w:val="00931CAA"/>
    <w:rsid w:val="00932094"/>
    <w:rsid w:val="00932DF6"/>
    <w:rsid w:val="00934CAA"/>
    <w:rsid w:val="00935216"/>
    <w:rsid w:val="00935572"/>
    <w:rsid w:val="00937281"/>
    <w:rsid w:val="00943D85"/>
    <w:rsid w:val="00945921"/>
    <w:rsid w:val="00950B3A"/>
    <w:rsid w:val="00950FEA"/>
    <w:rsid w:val="00953FCE"/>
    <w:rsid w:val="00954841"/>
    <w:rsid w:val="00955242"/>
    <w:rsid w:val="00957980"/>
    <w:rsid w:val="00960956"/>
    <w:rsid w:val="009640FF"/>
    <w:rsid w:val="00967A54"/>
    <w:rsid w:val="00970153"/>
    <w:rsid w:val="00970500"/>
    <w:rsid w:val="00970828"/>
    <w:rsid w:val="00972508"/>
    <w:rsid w:val="0097283F"/>
    <w:rsid w:val="009748FA"/>
    <w:rsid w:val="0097524D"/>
    <w:rsid w:val="00976659"/>
    <w:rsid w:val="00976692"/>
    <w:rsid w:val="009766D1"/>
    <w:rsid w:val="009844D5"/>
    <w:rsid w:val="00984EA3"/>
    <w:rsid w:val="00985714"/>
    <w:rsid w:val="009872BF"/>
    <w:rsid w:val="00990D5D"/>
    <w:rsid w:val="009943BF"/>
    <w:rsid w:val="009945D8"/>
    <w:rsid w:val="0099510B"/>
    <w:rsid w:val="0099512F"/>
    <w:rsid w:val="0099567E"/>
    <w:rsid w:val="00995C90"/>
    <w:rsid w:val="0099680D"/>
    <w:rsid w:val="00996CB1"/>
    <w:rsid w:val="009A19ED"/>
    <w:rsid w:val="009A37F4"/>
    <w:rsid w:val="009A44DF"/>
    <w:rsid w:val="009A48E7"/>
    <w:rsid w:val="009A746E"/>
    <w:rsid w:val="009B0F1F"/>
    <w:rsid w:val="009B27ED"/>
    <w:rsid w:val="009B4EE2"/>
    <w:rsid w:val="009C0752"/>
    <w:rsid w:val="009C23EA"/>
    <w:rsid w:val="009C3741"/>
    <w:rsid w:val="009C3FD7"/>
    <w:rsid w:val="009C4DF8"/>
    <w:rsid w:val="009C5578"/>
    <w:rsid w:val="009C5976"/>
    <w:rsid w:val="009C617F"/>
    <w:rsid w:val="009D47BC"/>
    <w:rsid w:val="009D675F"/>
    <w:rsid w:val="009D72AD"/>
    <w:rsid w:val="009E0BE7"/>
    <w:rsid w:val="009E1D82"/>
    <w:rsid w:val="009E3F64"/>
    <w:rsid w:val="009E4C0E"/>
    <w:rsid w:val="009E59EE"/>
    <w:rsid w:val="009E5D5C"/>
    <w:rsid w:val="009E6B56"/>
    <w:rsid w:val="009E7DE4"/>
    <w:rsid w:val="009F0294"/>
    <w:rsid w:val="009F1317"/>
    <w:rsid w:val="009F2222"/>
    <w:rsid w:val="009F2B76"/>
    <w:rsid w:val="009F5266"/>
    <w:rsid w:val="009F5726"/>
    <w:rsid w:val="00A0233A"/>
    <w:rsid w:val="00A04525"/>
    <w:rsid w:val="00A04C2C"/>
    <w:rsid w:val="00A05FE8"/>
    <w:rsid w:val="00A066D1"/>
    <w:rsid w:val="00A06FB9"/>
    <w:rsid w:val="00A07415"/>
    <w:rsid w:val="00A110B2"/>
    <w:rsid w:val="00A13262"/>
    <w:rsid w:val="00A134BE"/>
    <w:rsid w:val="00A1575C"/>
    <w:rsid w:val="00A157C9"/>
    <w:rsid w:val="00A1662C"/>
    <w:rsid w:val="00A16BD9"/>
    <w:rsid w:val="00A17D31"/>
    <w:rsid w:val="00A2008D"/>
    <w:rsid w:val="00A20566"/>
    <w:rsid w:val="00A2070C"/>
    <w:rsid w:val="00A207F5"/>
    <w:rsid w:val="00A22E2B"/>
    <w:rsid w:val="00A25CB1"/>
    <w:rsid w:val="00A263DD"/>
    <w:rsid w:val="00A275E4"/>
    <w:rsid w:val="00A275F3"/>
    <w:rsid w:val="00A27D1A"/>
    <w:rsid w:val="00A30687"/>
    <w:rsid w:val="00A363A8"/>
    <w:rsid w:val="00A37A66"/>
    <w:rsid w:val="00A411F7"/>
    <w:rsid w:val="00A4137E"/>
    <w:rsid w:val="00A4257F"/>
    <w:rsid w:val="00A452FC"/>
    <w:rsid w:val="00A45E86"/>
    <w:rsid w:val="00A468D4"/>
    <w:rsid w:val="00A50655"/>
    <w:rsid w:val="00A50B43"/>
    <w:rsid w:val="00A50DA7"/>
    <w:rsid w:val="00A536FD"/>
    <w:rsid w:val="00A55628"/>
    <w:rsid w:val="00A55DA3"/>
    <w:rsid w:val="00A55DDC"/>
    <w:rsid w:val="00A56857"/>
    <w:rsid w:val="00A63413"/>
    <w:rsid w:val="00A668DE"/>
    <w:rsid w:val="00A701B1"/>
    <w:rsid w:val="00A71231"/>
    <w:rsid w:val="00A729C4"/>
    <w:rsid w:val="00A73C23"/>
    <w:rsid w:val="00A745C0"/>
    <w:rsid w:val="00A7577F"/>
    <w:rsid w:val="00A77255"/>
    <w:rsid w:val="00A777E4"/>
    <w:rsid w:val="00A80F26"/>
    <w:rsid w:val="00A80F34"/>
    <w:rsid w:val="00A815A2"/>
    <w:rsid w:val="00A82591"/>
    <w:rsid w:val="00A83986"/>
    <w:rsid w:val="00A83D29"/>
    <w:rsid w:val="00A84105"/>
    <w:rsid w:val="00A86784"/>
    <w:rsid w:val="00A8789F"/>
    <w:rsid w:val="00A90129"/>
    <w:rsid w:val="00A9041D"/>
    <w:rsid w:val="00A9385A"/>
    <w:rsid w:val="00A93BC0"/>
    <w:rsid w:val="00A951C8"/>
    <w:rsid w:val="00A96034"/>
    <w:rsid w:val="00A96C1E"/>
    <w:rsid w:val="00AA30C3"/>
    <w:rsid w:val="00AA5398"/>
    <w:rsid w:val="00AA54D3"/>
    <w:rsid w:val="00AA7313"/>
    <w:rsid w:val="00AB2BD2"/>
    <w:rsid w:val="00AB4FDD"/>
    <w:rsid w:val="00AB5AD9"/>
    <w:rsid w:val="00AB7998"/>
    <w:rsid w:val="00AC1876"/>
    <w:rsid w:val="00AC18C8"/>
    <w:rsid w:val="00AC3D63"/>
    <w:rsid w:val="00AC58B9"/>
    <w:rsid w:val="00AD2823"/>
    <w:rsid w:val="00AD3868"/>
    <w:rsid w:val="00AD4571"/>
    <w:rsid w:val="00AD504E"/>
    <w:rsid w:val="00AD6070"/>
    <w:rsid w:val="00AD61C6"/>
    <w:rsid w:val="00AD6F18"/>
    <w:rsid w:val="00AD78B4"/>
    <w:rsid w:val="00AE0EC5"/>
    <w:rsid w:val="00AE45FF"/>
    <w:rsid w:val="00AF1478"/>
    <w:rsid w:val="00AF1CF2"/>
    <w:rsid w:val="00AF502D"/>
    <w:rsid w:val="00AF6418"/>
    <w:rsid w:val="00AF7201"/>
    <w:rsid w:val="00AF794A"/>
    <w:rsid w:val="00B0108B"/>
    <w:rsid w:val="00B0163E"/>
    <w:rsid w:val="00B02C5A"/>
    <w:rsid w:val="00B04104"/>
    <w:rsid w:val="00B04404"/>
    <w:rsid w:val="00B0670D"/>
    <w:rsid w:val="00B070AB"/>
    <w:rsid w:val="00B073D8"/>
    <w:rsid w:val="00B07CA8"/>
    <w:rsid w:val="00B07CEF"/>
    <w:rsid w:val="00B11995"/>
    <w:rsid w:val="00B11B57"/>
    <w:rsid w:val="00B131E9"/>
    <w:rsid w:val="00B14552"/>
    <w:rsid w:val="00B23357"/>
    <w:rsid w:val="00B2379C"/>
    <w:rsid w:val="00B25449"/>
    <w:rsid w:val="00B26278"/>
    <w:rsid w:val="00B340B1"/>
    <w:rsid w:val="00B35AEF"/>
    <w:rsid w:val="00B3688D"/>
    <w:rsid w:val="00B36BE6"/>
    <w:rsid w:val="00B40C5B"/>
    <w:rsid w:val="00B419F2"/>
    <w:rsid w:val="00B4534C"/>
    <w:rsid w:val="00B454B7"/>
    <w:rsid w:val="00B46E07"/>
    <w:rsid w:val="00B51730"/>
    <w:rsid w:val="00B518F7"/>
    <w:rsid w:val="00B52258"/>
    <w:rsid w:val="00B5289C"/>
    <w:rsid w:val="00B555E7"/>
    <w:rsid w:val="00B55875"/>
    <w:rsid w:val="00B55E61"/>
    <w:rsid w:val="00B57AD1"/>
    <w:rsid w:val="00B57D2F"/>
    <w:rsid w:val="00B60E6C"/>
    <w:rsid w:val="00B60FEE"/>
    <w:rsid w:val="00B63948"/>
    <w:rsid w:val="00B64D9D"/>
    <w:rsid w:val="00B66E15"/>
    <w:rsid w:val="00B67547"/>
    <w:rsid w:val="00B67C02"/>
    <w:rsid w:val="00B724A3"/>
    <w:rsid w:val="00B72A20"/>
    <w:rsid w:val="00B72DA3"/>
    <w:rsid w:val="00B7440C"/>
    <w:rsid w:val="00B753EA"/>
    <w:rsid w:val="00B80F8D"/>
    <w:rsid w:val="00B81B28"/>
    <w:rsid w:val="00B8214B"/>
    <w:rsid w:val="00B832BF"/>
    <w:rsid w:val="00B845C5"/>
    <w:rsid w:val="00B9047A"/>
    <w:rsid w:val="00B906BB"/>
    <w:rsid w:val="00B916AF"/>
    <w:rsid w:val="00B91D73"/>
    <w:rsid w:val="00B96F99"/>
    <w:rsid w:val="00BA43D1"/>
    <w:rsid w:val="00BA4861"/>
    <w:rsid w:val="00BA6490"/>
    <w:rsid w:val="00BA6495"/>
    <w:rsid w:val="00BB085B"/>
    <w:rsid w:val="00BB222C"/>
    <w:rsid w:val="00BB2B7C"/>
    <w:rsid w:val="00BB3BDB"/>
    <w:rsid w:val="00BB490A"/>
    <w:rsid w:val="00BB5B59"/>
    <w:rsid w:val="00BB5BCF"/>
    <w:rsid w:val="00BB64C0"/>
    <w:rsid w:val="00BB6825"/>
    <w:rsid w:val="00BB6F19"/>
    <w:rsid w:val="00BC0B6B"/>
    <w:rsid w:val="00BC4CB5"/>
    <w:rsid w:val="00BD07C6"/>
    <w:rsid w:val="00BD2C33"/>
    <w:rsid w:val="00BD383B"/>
    <w:rsid w:val="00BD6FAF"/>
    <w:rsid w:val="00BE2219"/>
    <w:rsid w:val="00BE577F"/>
    <w:rsid w:val="00BF0C52"/>
    <w:rsid w:val="00BF2EB5"/>
    <w:rsid w:val="00BF37C2"/>
    <w:rsid w:val="00BF46E0"/>
    <w:rsid w:val="00BF687A"/>
    <w:rsid w:val="00BF6B6B"/>
    <w:rsid w:val="00BF6C50"/>
    <w:rsid w:val="00C01F73"/>
    <w:rsid w:val="00C030C1"/>
    <w:rsid w:val="00C034B7"/>
    <w:rsid w:val="00C043D7"/>
    <w:rsid w:val="00C04C76"/>
    <w:rsid w:val="00C050D5"/>
    <w:rsid w:val="00C0799A"/>
    <w:rsid w:val="00C11216"/>
    <w:rsid w:val="00C11552"/>
    <w:rsid w:val="00C148DD"/>
    <w:rsid w:val="00C15914"/>
    <w:rsid w:val="00C15D82"/>
    <w:rsid w:val="00C16A49"/>
    <w:rsid w:val="00C16D04"/>
    <w:rsid w:val="00C17307"/>
    <w:rsid w:val="00C178E3"/>
    <w:rsid w:val="00C21C58"/>
    <w:rsid w:val="00C245F3"/>
    <w:rsid w:val="00C25079"/>
    <w:rsid w:val="00C25C96"/>
    <w:rsid w:val="00C26C79"/>
    <w:rsid w:val="00C27361"/>
    <w:rsid w:val="00C27A98"/>
    <w:rsid w:val="00C31EE3"/>
    <w:rsid w:val="00C3330D"/>
    <w:rsid w:val="00C342C8"/>
    <w:rsid w:val="00C35B10"/>
    <w:rsid w:val="00C35FC2"/>
    <w:rsid w:val="00C373A9"/>
    <w:rsid w:val="00C37A34"/>
    <w:rsid w:val="00C411AF"/>
    <w:rsid w:val="00C43652"/>
    <w:rsid w:val="00C45720"/>
    <w:rsid w:val="00C459A9"/>
    <w:rsid w:val="00C45AD3"/>
    <w:rsid w:val="00C46E0D"/>
    <w:rsid w:val="00C50ACE"/>
    <w:rsid w:val="00C518C9"/>
    <w:rsid w:val="00C5230B"/>
    <w:rsid w:val="00C53CAF"/>
    <w:rsid w:val="00C546CC"/>
    <w:rsid w:val="00C5586E"/>
    <w:rsid w:val="00C55AE0"/>
    <w:rsid w:val="00C648B8"/>
    <w:rsid w:val="00C64FFC"/>
    <w:rsid w:val="00C673E0"/>
    <w:rsid w:val="00C678AA"/>
    <w:rsid w:val="00C70BD2"/>
    <w:rsid w:val="00C70EAA"/>
    <w:rsid w:val="00C755AB"/>
    <w:rsid w:val="00C75C4F"/>
    <w:rsid w:val="00C771BB"/>
    <w:rsid w:val="00C81110"/>
    <w:rsid w:val="00C8239E"/>
    <w:rsid w:val="00C82724"/>
    <w:rsid w:val="00C836AA"/>
    <w:rsid w:val="00C8453D"/>
    <w:rsid w:val="00C845A6"/>
    <w:rsid w:val="00C84BA8"/>
    <w:rsid w:val="00C85AAE"/>
    <w:rsid w:val="00C864EA"/>
    <w:rsid w:val="00C907DA"/>
    <w:rsid w:val="00C90AAE"/>
    <w:rsid w:val="00C916E4"/>
    <w:rsid w:val="00C91ACB"/>
    <w:rsid w:val="00C91F3D"/>
    <w:rsid w:val="00C9292A"/>
    <w:rsid w:val="00CA083A"/>
    <w:rsid w:val="00CA2111"/>
    <w:rsid w:val="00CA2CDD"/>
    <w:rsid w:val="00CA523E"/>
    <w:rsid w:val="00CB05CF"/>
    <w:rsid w:val="00CB0899"/>
    <w:rsid w:val="00CB1033"/>
    <w:rsid w:val="00CB1725"/>
    <w:rsid w:val="00CB3190"/>
    <w:rsid w:val="00CB4677"/>
    <w:rsid w:val="00CB6D5D"/>
    <w:rsid w:val="00CB7ED4"/>
    <w:rsid w:val="00CC2734"/>
    <w:rsid w:val="00CC30B3"/>
    <w:rsid w:val="00CD0B12"/>
    <w:rsid w:val="00CD3928"/>
    <w:rsid w:val="00CE01A2"/>
    <w:rsid w:val="00CE0445"/>
    <w:rsid w:val="00CE0A2D"/>
    <w:rsid w:val="00CE1219"/>
    <w:rsid w:val="00CE18B6"/>
    <w:rsid w:val="00CE3776"/>
    <w:rsid w:val="00CE4836"/>
    <w:rsid w:val="00CE66A2"/>
    <w:rsid w:val="00CE76A5"/>
    <w:rsid w:val="00CF10EC"/>
    <w:rsid w:val="00CF35D8"/>
    <w:rsid w:val="00CF4D52"/>
    <w:rsid w:val="00CF6578"/>
    <w:rsid w:val="00D00048"/>
    <w:rsid w:val="00D0047C"/>
    <w:rsid w:val="00D01AB4"/>
    <w:rsid w:val="00D03E54"/>
    <w:rsid w:val="00D052F1"/>
    <w:rsid w:val="00D056FC"/>
    <w:rsid w:val="00D05FD7"/>
    <w:rsid w:val="00D07E66"/>
    <w:rsid w:val="00D10153"/>
    <w:rsid w:val="00D13AD8"/>
    <w:rsid w:val="00D1511C"/>
    <w:rsid w:val="00D16C28"/>
    <w:rsid w:val="00D21095"/>
    <w:rsid w:val="00D215D1"/>
    <w:rsid w:val="00D23450"/>
    <w:rsid w:val="00D274C7"/>
    <w:rsid w:val="00D31B11"/>
    <w:rsid w:val="00D321D2"/>
    <w:rsid w:val="00D371AD"/>
    <w:rsid w:val="00D42198"/>
    <w:rsid w:val="00D42DA6"/>
    <w:rsid w:val="00D43045"/>
    <w:rsid w:val="00D43B7F"/>
    <w:rsid w:val="00D46383"/>
    <w:rsid w:val="00D465E9"/>
    <w:rsid w:val="00D52946"/>
    <w:rsid w:val="00D534D9"/>
    <w:rsid w:val="00D542E3"/>
    <w:rsid w:val="00D61B7F"/>
    <w:rsid w:val="00D62034"/>
    <w:rsid w:val="00D63164"/>
    <w:rsid w:val="00D63A26"/>
    <w:rsid w:val="00D64DDF"/>
    <w:rsid w:val="00D660B7"/>
    <w:rsid w:val="00D6615F"/>
    <w:rsid w:val="00D663B3"/>
    <w:rsid w:val="00D7237C"/>
    <w:rsid w:val="00D72AA8"/>
    <w:rsid w:val="00D73046"/>
    <w:rsid w:val="00D73459"/>
    <w:rsid w:val="00D739D4"/>
    <w:rsid w:val="00D74649"/>
    <w:rsid w:val="00D74EE3"/>
    <w:rsid w:val="00D7673C"/>
    <w:rsid w:val="00D76D7F"/>
    <w:rsid w:val="00D80CD9"/>
    <w:rsid w:val="00D8253C"/>
    <w:rsid w:val="00D85FF3"/>
    <w:rsid w:val="00D86FEA"/>
    <w:rsid w:val="00D90C8B"/>
    <w:rsid w:val="00D91182"/>
    <w:rsid w:val="00D91886"/>
    <w:rsid w:val="00D92D4F"/>
    <w:rsid w:val="00D92F96"/>
    <w:rsid w:val="00D94330"/>
    <w:rsid w:val="00D97196"/>
    <w:rsid w:val="00DA316A"/>
    <w:rsid w:val="00DA4CA4"/>
    <w:rsid w:val="00DA62F8"/>
    <w:rsid w:val="00DA771F"/>
    <w:rsid w:val="00DB1C95"/>
    <w:rsid w:val="00DB4ABD"/>
    <w:rsid w:val="00DB4B22"/>
    <w:rsid w:val="00DB4B84"/>
    <w:rsid w:val="00DB5154"/>
    <w:rsid w:val="00DB64AC"/>
    <w:rsid w:val="00DC28EC"/>
    <w:rsid w:val="00DC2CDD"/>
    <w:rsid w:val="00DC35C6"/>
    <w:rsid w:val="00DC3F72"/>
    <w:rsid w:val="00DC40A6"/>
    <w:rsid w:val="00DC5CAF"/>
    <w:rsid w:val="00DC60CD"/>
    <w:rsid w:val="00DD09B1"/>
    <w:rsid w:val="00DD1258"/>
    <w:rsid w:val="00DD15D5"/>
    <w:rsid w:val="00DD3791"/>
    <w:rsid w:val="00DD3CEE"/>
    <w:rsid w:val="00DD43C9"/>
    <w:rsid w:val="00DD4446"/>
    <w:rsid w:val="00DD5885"/>
    <w:rsid w:val="00DD5A9C"/>
    <w:rsid w:val="00DD6828"/>
    <w:rsid w:val="00DD6A81"/>
    <w:rsid w:val="00DD7FED"/>
    <w:rsid w:val="00DE06A8"/>
    <w:rsid w:val="00DE0E53"/>
    <w:rsid w:val="00DE1C93"/>
    <w:rsid w:val="00DE3510"/>
    <w:rsid w:val="00DE4759"/>
    <w:rsid w:val="00DE6ECB"/>
    <w:rsid w:val="00DF217A"/>
    <w:rsid w:val="00DF22AF"/>
    <w:rsid w:val="00DF2AD3"/>
    <w:rsid w:val="00DF40C6"/>
    <w:rsid w:val="00DF4334"/>
    <w:rsid w:val="00DF5DF9"/>
    <w:rsid w:val="00DF663F"/>
    <w:rsid w:val="00DF7DB3"/>
    <w:rsid w:val="00E013F8"/>
    <w:rsid w:val="00E01C0B"/>
    <w:rsid w:val="00E04040"/>
    <w:rsid w:val="00E06F2D"/>
    <w:rsid w:val="00E0766E"/>
    <w:rsid w:val="00E12244"/>
    <w:rsid w:val="00E148EC"/>
    <w:rsid w:val="00E14B09"/>
    <w:rsid w:val="00E1696D"/>
    <w:rsid w:val="00E173AB"/>
    <w:rsid w:val="00E2080D"/>
    <w:rsid w:val="00E20F99"/>
    <w:rsid w:val="00E22611"/>
    <w:rsid w:val="00E22F2E"/>
    <w:rsid w:val="00E22F9E"/>
    <w:rsid w:val="00E24144"/>
    <w:rsid w:val="00E24808"/>
    <w:rsid w:val="00E24F19"/>
    <w:rsid w:val="00E2586B"/>
    <w:rsid w:val="00E26CB1"/>
    <w:rsid w:val="00E30F4C"/>
    <w:rsid w:val="00E3194C"/>
    <w:rsid w:val="00E323AB"/>
    <w:rsid w:val="00E32522"/>
    <w:rsid w:val="00E33263"/>
    <w:rsid w:val="00E342B0"/>
    <w:rsid w:val="00E357A1"/>
    <w:rsid w:val="00E37D53"/>
    <w:rsid w:val="00E40375"/>
    <w:rsid w:val="00E456C2"/>
    <w:rsid w:val="00E45C04"/>
    <w:rsid w:val="00E51954"/>
    <w:rsid w:val="00E54D61"/>
    <w:rsid w:val="00E550D8"/>
    <w:rsid w:val="00E5658F"/>
    <w:rsid w:val="00E56666"/>
    <w:rsid w:val="00E6061F"/>
    <w:rsid w:val="00E62401"/>
    <w:rsid w:val="00E63CFE"/>
    <w:rsid w:val="00E658D0"/>
    <w:rsid w:val="00E662CE"/>
    <w:rsid w:val="00E66616"/>
    <w:rsid w:val="00E66644"/>
    <w:rsid w:val="00E66948"/>
    <w:rsid w:val="00E7242C"/>
    <w:rsid w:val="00E73247"/>
    <w:rsid w:val="00E73565"/>
    <w:rsid w:val="00E74FB8"/>
    <w:rsid w:val="00E757E7"/>
    <w:rsid w:val="00E75B2B"/>
    <w:rsid w:val="00E75FB3"/>
    <w:rsid w:val="00E76A0F"/>
    <w:rsid w:val="00E77D21"/>
    <w:rsid w:val="00E80496"/>
    <w:rsid w:val="00E80B96"/>
    <w:rsid w:val="00E8296A"/>
    <w:rsid w:val="00E82F2C"/>
    <w:rsid w:val="00E857EE"/>
    <w:rsid w:val="00E87444"/>
    <w:rsid w:val="00E87514"/>
    <w:rsid w:val="00E929E2"/>
    <w:rsid w:val="00E92BD3"/>
    <w:rsid w:val="00E93440"/>
    <w:rsid w:val="00E949B5"/>
    <w:rsid w:val="00E94A8D"/>
    <w:rsid w:val="00E94F51"/>
    <w:rsid w:val="00E96177"/>
    <w:rsid w:val="00EA1583"/>
    <w:rsid w:val="00EA1DE4"/>
    <w:rsid w:val="00EA4322"/>
    <w:rsid w:val="00EA5A8D"/>
    <w:rsid w:val="00EB2D9E"/>
    <w:rsid w:val="00EB31E3"/>
    <w:rsid w:val="00EB4017"/>
    <w:rsid w:val="00EB4847"/>
    <w:rsid w:val="00EB4CD5"/>
    <w:rsid w:val="00EB58A6"/>
    <w:rsid w:val="00EB5D25"/>
    <w:rsid w:val="00EB62BF"/>
    <w:rsid w:val="00EB66DB"/>
    <w:rsid w:val="00EC00AA"/>
    <w:rsid w:val="00EC14DB"/>
    <w:rsid w:val="00EC20B3"/>
    <w:rsid w:val="00EC230C"/>
    <w:rsid w:val="00EC370C"/>
    <w:rsid w:val="00EC6768"/>
    <w:rsid w:val="00EC76F0"/>
    <w:rsid w:val="00ED2219"/>
    <w:rsid w:val="00ED44A5"/>
    <w:rsid w:val="00ED67E2"/>
    <w:rsid w:val="00ED6D4C"/>
    <w:rsid w:val="00ED7CF3"/>
    <w:rsid w:val="00EE247B"/>
    <w:rsid w:val="00EE515C"/>
    <w:rsid w:val="00EE5914"/>
    <w:rsid w:val="00EF1481"/>
    <w:rsid w:val="00EF1E80"/>
    <w:rsid w:val="00EF29BB"/>
    <w:rsid w:val="00EF3A9B"/>
    <w:rsid w:val="00EF3FA4"/>
    <w:rsid w:val="00EF44F5"/>
    <w:rsid w:val="00EF5AA9"/>
    <w:rsid w:val="00EF670B"/>
    <w:rsid w:val="00EF6F7A"/>
    <w:rsid w:val="00F00220"/>
    <w:rsid w:val="00F0299F"/>
    <w:rsid w:val="00F03408"/>
    <w:rsid w:val="00F03F03"/>
    <w:rsid w:val="00F04559"/>
    <w:rsid w:val="00F0557D"/>
    <w:rsid w:val="00F058C3"/>
    <w:rsid w:val="00F073BD"/>
    <w:rsid w:val="00F131D0"/>
    <w:rsid w:val="00F139F4"/>
    <w:rsid w:val="00F13B8C"/>
    <w:rsid w:val="00F14C9F"/>
    <w:rsid w:val="00F17056"/>
    <w:rsid w:val="00F20F6C"/>
    <w:rsid w:val="00F21934"/>
    <w:rsid w:val="00F22979"/>
    <w:rsid w:val="00F22B90"/>
    <w:rsid w:val="00F22D76"/>
    <w:rsid w:val="00F22E5E"/>
    <w:rsid w:val="00F26601"/>
    <w:rsid w:val="00F26E58"/>
    <w:rsid w:val="00F30980"/>
    <w:rsid w:val="00F30E35"/>
    <w:rsid w:val="00F34852"/>
    <w:rsid w:val="00F34A8E"/>
    <w:rsid w:val="00F35C3E"/>
    <w:rsid w:val="00F35E68"/>
    <w:rsid w:val="00F41055"/>
    <w:rsid w:val="00F448AC"/>
    <w:rsid w:val="00F44C82"/>
    <w:rsid w:val="00F4587F"/>
    <w:rsid w:val="00F47B56"/>
    <w:rsid w:val="00F50EDF"/>
    <w:rsid w:val="00F52BA5"/>
    <w:rsid w:val="00F536B7"/>
    <w:rsid w:val="00F575D4"/>
    <w:rsid w:val="00F576FB"/>
    <w:rsid w:val="00F601AB"/>
    <w:rsid w:val="00F65900"/>
    <w:rsid w:val="00F673F9"/>
    <w:rsid w:val="00F72EB7"/>
    <w:rsid w:val="00F73E44"/>
    <w:rsid w:val="00F778C6"/>
    <w:rsid w:val="00F8089D"/>
    <w:rsid w:val="00F81A61"/>
    <w:rsid w:val="00F83204"/>
    <w:rsid w:val="00F83553"/>
    <w:rsid w:val="00F83A91"/>
    <w:rsid w:val="00F857FF"/>
    <w:rsid w:val="00F86B03"/>
    <w:rsid w:val="00F901B7"/>
    <w:rsid w:val="00F90A29"/>
    <w:rsid w:val="00F90DF1"/>
    <w:rsid w:val="00F949AC"/>
    <w:rsid w:val="00F94BA9"/>
    <w:rsid w:val="00FA08ED"/>
    <w:rsid w:val="00FA0AE6"/>
    <w:rsid w:val="00FA2B08"/>
    <w:rsid w:val="00FA4C6B"/>
    <w:rsid w:val="00FA4D3F"/>
    <w:rsid w:val="00FA74FB"/>
    <w:rsid w:val="00FB05CE"/>
    <w:rsid w:val="00FB0F64"/>
    <w:rsid w:val="00FB205C"/>
    <w:rsid w:val="00FB2528"/>
    <w:rsid w:val="00FB2AB3"/>
    <w:rsid w:val="00FB379E"/>
    <w:rsid w:val="00FB472D"/>
    <w:rsid w:val="00FB5230"/>
    <w:rsid w:val="00FB748F"/>
    <w:rsid w:val="00FB7C8C"/>
    <w:rsid w:val="00FC0CB2"/>
    <w:rsid w:val="00FC23D9"/>
    <w:rsid w:val="00FC4847"/>
    <w:rsid w:val="00FC5328"/>
    <w:rsid w:val="00FC5885"/>
    <w:rsid w:val="00FC679A"/>
    <w:rsid w:val="00FC7186"/>
    <w:rsid w:val="00FC75E5"/>
    <w:rsid w:val="00FC7605"/>
    <w:rsid w:val="00FD093E"/>
    <w:rsid w:val="00FD1561"/>
    <w:rsid w:val="00FD5489"/>
    <w:rsid w:val="00FD58A8"/>
    <w:rsid w:val="00FD653C"/>
    <w:rsid w:val="00FE1172"/>
    <w:rsid w:val="00FE1B60"/>
    <w:rsid w:val="00FE2DC8"/>
    <w:rsid w:val="00FE3382"/>
    <w:rsid w:val="00FE3C05"/>
    <w:rsid w:val="00FE542C"/>
    <w:rsid w:val="00FE5BC5"/>
    <w:rsid w:val="00FE6FE8"/>
    <w:rsid w:val="00FF0277"/>
    <w:rsid w:val="00FF1AB8"/>
    <w:rsid w:val="00FF3060"/>
    <w:rsid w:val="00FF4FBB"/>
    <w:rsid w:val="00FF5D66"/>
    <w:rsid w:val="00FF69F1"/>
    <w:rsid w:val="06F305EC"/>
    <w:rsid w:val="0A2F768E"/>
    <w:rsid w:val="0D217D92"/>
    <w:rsid w:val="0E4030EF"/>
    <w:rsid w:val="0E5E4C71"/>
    <w:rsid w:val="0FA71445"/>
    <w:rsid w:val="11222779"/>
    <w:rsid w:val="16FA1E0C"/>
    <w:rsid w:val="1730079A"/>
    <w:rsid w:val="17C75BB8"/>
    <w:rsid w:val="19E20A5E"/>
    <w:rsid w:val="1C3A7F7E"/>
    <w:rsid w:val="1D936BCE"/>
    <w:rsid w:val="212D62A2"/>
    <w:rsid w:val="22F83BED"/>
    <w:rsid w:val="24E10292"/>
    <w:rsid w:val="2EF0528F"/>
    <w:rsid w:val="3A173335"/>
    <w:rsid w:val="3BF0635F"/>
    <w:rsid w:val="3C445622"/>
    <w:rsid w:val="3FC840B3"/>
    <w:rsid w:val="41372F29"/>
    <w:rsid w:val="41441D05"/>
    <w:rsid w:val="47570CEF"/>
    <w:rsid w:val="49E4644A"/>
    <w:rsid w:val="4A6F1B9B"/>
    <w:rsid w:val="4AD5489D"/>
    <w:rsid w:val="4BBE69AE"/>
    <w:rsid w:val="4BDB6F59"/>
    <w:rsid w:val="4CEF6BDC"/>
    <w:rsid w:val="4D510EFA"/>
    <w:rsid w:val="4D84201B"/>
    <w:rsid w:val="50ED5AE8"/>
    <w:rsid w:val="51017F25"/>
    <w:rsid w:val="5193385F"/>
    <w:rsid w:val="531E11F6"/>
    <w:rsid w:val="57BE2A3C"/>
    <w:rsid w:val="5C6B0AEF"/>
    <w:rsid w:val="5E9F2117"/>
    <w:rsid w:val="5EC26CA1"/>
    <w:rsid w:val="605A1FEF"/>
    <w:rsid w:val="614D7075"/>
    <w:rsid w:val="64EF388C"/>
    <w:rsid w:val="68586EB7"/>
    <w:rsid w:val="6A65237C"/>
    <w:rsid w:val="6A6C2198"/>
    <w:rsid w:val="71197185"/>
    <w:rsid w:val="723D484B"/>
    <w:rsid w:val="725F749E"/>
    <w:rsid w:val="743B581C"/>
    <w:rsid w:val="74B10E16"/>
    <w:rsid w:val="78C51824"/>
    <w:rsid w:val="7F0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2"/>
    <w:basedOn w:val="1"/>
    <w:next w:val="1"/>
    <w:link w:val="30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3">
    <w:name w:val="heading 3"/>
    <w:basedOn w:val="1"/>
    <w:next w:val="1"/>
    <w:link w:val="16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annotation text"/>
    <w:basedOn w:val="1"/>
    <w:link w:val="25"/>
    <w:semiHidden/>
    <w:unhideWhenUsed/>
    <w:qFormat/>
    <w:uiPriority w:val="99"/>
  </w:style>
  <w:style w:type="paragraph" w:styleId="10">
    <w:name w:val="annotation subject"/>
    <w:basedOn w:val="9"/>
    <w:next w:val="9"/>
    <w:link w:val="26"/>
    <w:semiHidden/>
    <w:unhideWhenUsed/>
    <w:qFormat/>
    <w:uiPriority w:val="99"/>
    <w:rPr>
      <w:b/>
      <w:bCs/>
    </w:rPr>
  </w:style>
  <w:style w:type="paragraph" w:styleId="11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24"/>
    <w:qFormat/>
    <w:uiPriority w:val="0"/>
    <w:pPr>
      <w:suppressAutoHyphens/>
      <w:spacing w:after="120"/>
    </w:pPr>
    <w:rPr>
      <w:sz w:val="24"/>
      <w:szCs w:val="24"/>
      <w:lang w:eastAsia="ar-SA"/>
    </w:rPr>
  </w:style>
  <w:style w:type="paragraph" w:styleId="13">
    <w:name w:val="footer"/>
    <w:basedOn w:val="1"/>
    <w:link w:val="21"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15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0"/>
      <w:szCs w:val="20"/>
      <w:lang w:eastAsia="ru-RU"/>
      <w14:textFill>
        <w14:solidFill>
          <w14:schemeClr w14:val="accent1"/>
        </w14:solidFill>
      </w14:textFill>
    </w:rPr>
  </w:style>
  <w:style w:type="paragraph" w:customStyle="1" w:styleId="17">
    <w:name w:val="u"/>
    <w:basedOn w:val="1"/>
    <w:qFormat/>
    <w:uiPriority w:val="0"/>
    <w:pPr>
      <w:ind w:firstLine="390"/>
      <w:jc w:val="both"/>
    </w:pPr>
    <w:rPr>
      <w:sz w:val="24"/>
      <w:szCs w:val="24"/>
    </w:rPr>
  </w:style>
  <w:style w:type="character" w:customStyle="1" w:styleId="18">
    <w:name w:val="Текст выноски Знак"/>
    <w:basedOn w:val="4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9">
    <w:name w:val="ConsPlusNormal"/>
    <w:next w:val="1"/>
    <w:qFormat/>
    <w:uiPriority w:val="0"/>
    <w:pPr>
      <w:widowControl w:val="0"/>
      <w:suppressAutoHyphens/>
      <w:autoSpaceDE w:val="0"/>
      <w:ind w:firstLine="720"/>
    </w:pPr>
    <w:rPr>
      <w:rFonts w:ascii="Arial" w:hAnsi="Arial" w:eastAsia="Arial" w:cs="Arial"/>
      <w:lang w:val="ru-RU" w:eastAsia="ru-RU" w:bidi="ru-RU"/>
    </w:rPr>
  </w:style>
  <w:style w:type="character" w:customStyle="1" w:styleId="20">
    <w:name w:val="Верхний колонтитул Знак"/>
    <w:basedOn w:val="4"/>
    <w:link w:val="11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1">
    <w:name w:val="Нижний колонтитул Знак"/>
    <w:basedOn w:val="4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2">
    <w:name w:val="List Paragraph"/>
    <w:basedOn w:val="1"/>
    <w:qFormat/>
    <w:uiPriority w:val="34"/>
    <w:pPr>
      <w:ind w:left="720"/>
      <w:contextualSpacing/>
    </w:pPr>
    <w:rPr>
      <w:sz w:val="24"/>
      <w:szCs w:val="24"/>
    </w:rPr>
  </w:style>
  <w:style w:type="paragraph" w:customStyle="1" w:styleId="23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lang w:val="ru-RU" w:eastAsia="ru-RU" w:bidi="ar-SA"/>
    </w:rPr>
  </w:style>
  <w:style w:type="character" w:customStyle="1" w:styleId="24">
    <w:name w:val="Основной текст Знак"/>
    <w:basedOn w:val="4"/>
    <w:link w:val="12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5">
    <w:name w:val="Текст примечания Знак"/>
    <w:basedOn w:val="4"/>
    <w:link w:val="9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6">
    <w:name w:val="Тема примечания Знак"/>
    <w:basedOn w:val="25"/>
    <w:link w:val="10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27">
    <w:name w:val="Знак Знак Знак"/>
    <w:basedOn w:val="1"/>
    <w:next w:val="1"/>
    <w:semiHidden/>
    <w:qFormat/>
    <w:uiPriority w:val="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8">
    <w:name w:val="ConsPlusCell"/>
    <w:qFormat/>
    <w:uiPriority w:val="0"/>
    <w:pPr>
      <w:widowControl w:val="0"/>
      <w:suppressAutoHyphens/>
      <w:autoSpaceDE w:val="0"/>
    </w:pPr>
    <w:rPr>
      <w:rFonts w:ascii="Arial" w:hAnsi="Arial" w:eastAsia="Times New Roman" w:cs="Arial"/>
      <w:lang w:val="ru-RU" w:eastAsia="ar-SA" w:bidi="ar-SA"/>
    </w:rPr>
  </w:style>
  <w:style w:type="paragraph" w:customStyle="1" w:styleId="29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character" w:customStyle="1" w:styleId="30">
    <w:name w:val="Заголовок 2 Знак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31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1A4A-3DD0-4129-9FE4-9E77BC13D3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4981</Words>
  <Characters>28393</Characters>
  <Lines>236</Lines>
  <Paragraphs>66</Paragraphs>
  <TotalTime>14</TotalTime>
  <ScaleCrop>false</ScaleCrop>
  <LinksUpToDate>false</LinksUpToDate>
  <CharactersWithSpaces>33308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2019-11-25T06:45:00Z</dcterms:created>
  <dc:creator>Юлия Журавлева</dc:creator>
  <cp:lastModifiedBy>WPS_1698754307</cp:lastModifiedBy>
  <cp:lastPrinted>2023-12-22T04:26:07Z</cp:lastPrinted>
  <dcterms:modified xsi:type="dcterms:W3CDTF">2023-12-22T04:53:10Z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D7F2DDD5F8794702A61FE02B3F7C2934</vt:lpwstr>
  </property>
</Properties>
</file>