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8" w:rsidRPr="00FE4DBB" w:rsidRDefault="00347948" w:rsidP="00DB3EA3">
      <w:pPr>
        <w:ind w:left="567" w:firstLine="567"/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347948" w:rsidRPr="00FE4DBB" w:rsidRDefault="00347948" w:rsidP="00347948">
      <w:pPr>
        <w:jc w:val="center"/>
        <w:outlineLvl w:val="0"/>
      </w:pPr>
    </w:p>
    <w:p w:rsidR="00AF222A" w:rsidRPr="00FB2BE7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Волгоградская ул., д.141, г. Ахтубинск,</w:t>
      </w:r>
      <w:r w:rsidR="00CE44BD">
        <w:rPr>
          <w:sz w:val="18"/>
          <w:szCs w:val="18"/>
        </w:rPr>
        <w:t xml:space="preserve"> Астраханской обл.,</w:t>
      </w:r>
      <w:r w:rsidRPr="00625EE1">
        <w:rPr>
          <w:sz w:val="18"/>
          <w:szCs w:val="18"/>
        </w:rPr>
        <w:t xml:space="preserve"> 416500</w:t>
      </w:r>
      <w:r w:rsidR="00CE44BD">
        <w:rPr>
          <w:sz w:val="18"/>
          <w:szCs w:val="18"/>
        </w:rPr>
        <w:t>,</w:t>
      </w:r>
      <w:r w:rsidRPr="00625EE1">
        <w:rPr>
          <w:sz w:val="18"/>
          <w:szCs w:val="18"/>
        </w:rPr>
        <w:t xml:space="preserve"> Тел./факс (8-85141) 4-04-24 /, (8-85141) 4-04-15</w:t>
      </w:r>
      <w:r w:rsidR="00AF222A">
        <w:rPr>
          <w:sz w:val="18"/>
          <w:szCs w:val="18"/>
        </w:rPr>
        <w:t>;</w:t>
      </w:r>
    </w:p>
    <w:p w:rsidR="00347948" w:rsidRPr="00FB2BE7" w:rsidRDefault="00AF222A" w:rsidP="00347948">
      <w:pPr>
        <w:jc w:val="center"/>
        <w:outlineLvl w:val="0"/>
        <w:rPr>
          <w:sz w:val="18"/>
          <w:szCs w:val="18"/>
        </w:rPr>
      </w:pPr>
      <w:r w:rsidRPr="00FB2BE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e</w:t>
      </w:r>
      <w:r w:rsidRPr="00FB2BE7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="00124877" w:rsidRPr="00FB2BE7">
        <w:rPr>
          <w:sz w:val="18"/>
          <w:szCs w:val="18"/>
        </w:rPr>
        <w:t>:</w:t>
      </w:r>
      <w:r w:rsidRPr="00FB2BE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kspahtubinsk</w:t>
      </w:r>
      <w:proofErr w:type="spellEnd"/>
      <w:r w:rsidRPr="00FB2BE7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FB2BE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="00347948" w:rsidRPr="00FB2BE7">
        <w:rPr>
          <w:sz w:val="18"/>
          <w:szCs w:val="18"/>
        </w:rPr>
        <w:t xml:space="preserve"> </w:t>
      </w:r>
    </w:p>
    <w:p w:rsidR="00347948" w:rsidRPr="00625EE1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347948" w:rsidRPr="00670F41" w:rsidRDefault="00347948" w:rsidP="00347948">
      <w:pPr>
        <w:pBdr>
          <w:top w:val="thinThickSmallGap" w:sz="24" w:space="1" w:color="auto"/>
        </w:pBdr>
        <w:spacing w:line="360" w:lineRule="auto"/>
        <w:jc w:val="center"/>
        <w:rPr>
          <w:sz w:val="22"/>
          <w:szCs w:val="22"/>
        </w:rPr>
      </w:pPr>
    </w:p>
    <w:p w:rsidR="00347948" w:rsidRPr="00437001" w:rsidRDefault="00347948" w:rsidP="00347948">
      <w:pPr>
        <w:jc w:val="center"/>
        <w:rPr>
          <w:b/>
          <w:i/>
        </w:rPr>
      </w:pPr>
      <w:r w:rsidRPr="00437001">
        <w:rPr>
          <w:b/>
          <w:i/>
        </w:rPr>
        <w:t>Анали</w:t>
      </w:r>
      <w:r w:rsidR="00FB2BE7" w:rsidRPr="00437001">
        <w:rPr>
          <w:b/>
          <w:i/>
        </w:rPr>
        <w:t xml:space="preserve">тическая записка </w:t>
      </w:r>
      <w:r w:rsidR="006308CF" w:rsidRPr="00437001">
        <w:rPr>
          <w:b/>
          <w:i/>
        </w:rPr>
        <w:t>к</w:t>
      </w:r>
      <w:r w:rsidR="00FB2BE7" w:rsidRPr="00437001">
        <w:rPr>
          <w:b/>
          <w:i/>
        </w:rPr>
        <w:t xml:space="preserve"> отчет</w:t>
      </w:r>
      <w:r w:rsidR="006308CF" w:rsidRPr="00437001">
        <w:rPr>
          <w:b/>
          <w:i/>
        </w:rPr>
        <w:t>у</w:t>
      </w:r>
      <w:r w:rsidRPr="00437001">
        <w:rPr>
          <w:b/>
          <w:i/>
        </w:rPr>
        <w:t xml:space="preserve"> об исполнении</w:t>
      </w:r>
      <w:r w:rsidR="00243468" w:rsidRPr="00437001">
        <w:rPr>
          <w:b/>
          <w:i/>
        </w:rPr>
        <w:t xml:space="preserve"> </w:t>
      </w:r>
      <w:r w:rsidRPr="00437001">
        <w:rPr>
          <w:b/>
          <w:i/>
        </w:rPr>
        <w:t>бюджета</w:t>
      </w:r>
    </w:p>
    <w:p w:rsidR="00347948" w:rsidRPr="00437001" w:rsidRDefault="00243468" w:rsidP="00347948">
      <w:pPr>
        <w:jc w:val="center"/>
        <w:rPr>
          <w:b/>
          <w:i/>
        </w:rPr>
      </w:pPr>
      <w:r w:rsidRPr="00437001">
        <w:rPr>
          <w:b/>
          <w:i/>
        </w:rPr>
        <w:t xml:space="preserve">МО «Ахтубинский район» </w:t>
      </w:r>
      <w:r w:rsidR="00FC6394">
        <w:rPr>
          <w:b/>
          <w:i/>
        </w:rPr>
        <w:t>за 1 полугодие</w:t>
      </w:r>
      <w:r w:rsidR="00FC6394" w:rsidRPr="00437001">
        <w:rPr>
          <w:b/>
          <w:i/>
        </w:rPr>
        <w:t xml:space="preserve"> </w:t>
      </w:r>
      <w:r w:rsidR="006851C7" w:rsidRPr="00437001">
        <w:rPr>
          <w:b/>
          <w:i/>
        </w:rPr>
        <w:t>202</w:t>
      </w:r>
      <w:r w:rsidR="00120EEB">
        <w:rPr>
          <w:b/>
          <w:i/>
        </w:rPr>
        <w:t>2</w:t>
      </w:r>
      <w:r w:rsidR="00347948" w:rsidRPr="00437001">
        <w:rPr>
          <w:b/>
          <w:i/>
        </w:rPr>
        <w:t xml:space="preserve"> года</w:t>
      </w:r>
      <w:r w:rsidR="00FC6394">
        <w:rPr>
          <w:b/>
          <w:i/>
        </w:rPr>
        <w:t>.</w:t>
      </w:r>
    </w:p>
    <w:p w:rsidR="00347948" w:rsidRPr="00437001" w:rsidRDefault="00347948" w:rsidP="005D2AC7">
      <w:pPr>
        <w:ind w:firstLine="720"/>
        <w:jc w:val="center"/>
      </w:pPr>
    </w:p>
    <w:p w:rsidR="000C7734" w:rsidRPr="00437001" w:rsidRDefault="00B558A1" w:rsidP="0022215C">
      <w:r w:rsidRPr="00D162F0">
        <w:t xml:space="preserve">от </w:t>
      </w:r>
      <w:r w:rsidR="00FC6394">
        <w:t>03</w:t>
      </w:r>
      <w:r w:rsidRPr="00D162F0">
        <w:t>.</w:t>
      </w:r>
      <w:r w:rsidR="00FC6394">
        <w:t>08</w:t>
      </w:r>
      <w:r w:rsidR="00F36F41" w:rsidRPr="00D162F0">
        <w:t>.</w:t>
      </w:r>
      <w:r w:rsidR="006851C7" w:rsidRPr="00610ADC">
        <w:t>202</w:t>
      </w:r>
      <w:r w:rsidR="00120EEB">
        <w:t>2</w:t>
      </w:r>
      <w:r w:rsidR="00F36F41" w:rsidRPr="00610ADC">
        <w:t>г</w:t>
      </w:r>
      <w:r w:rsidR="00437001" w:rsidRPr="00610ADC">
        <w:t>.</w:t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243468" w:rsidRPr="00610ADC">
        <w:tab/>
      </w:r>
      <w:r w:rsidR="00243468" w:rsidRPr="00610ADC">
        <w:tab/>
      </w:r>
      <w:r w:rsidR="00243468" w:rsidRPr="00610ADC">
        <w:tab/>
      </w:r>
      <w:r w:rsidR="007C33D7" w:rsidRPr="00F64024">
        <w:t xml:space="preserve">№ </w:t>
      </w:r>
      <w:r w:rsidR="000C7734" w:rsidRPr="00F64024">
        <w:t>З-</w:t>
      </w:r>
      <w:r w:rsidR="00F64024" w:rsidRPr="00F64024">
        <w:t>39</w:t>
      </w:r>
      <w:r w:rsidR="000C7734" w:rsidRPr="00F64024">
        <w:t>/</w:t>
      </w:r>
      <w:r w:rsidR="00120EEB" w:rsidRPr="00F64024">
        <w:t>2022</w:t>
      </w:r>
      <w:r w:rsidR="00F36F41" w:rsidRPr="00437001">
        <w:t xml:space="preserve"> </w:t>
      </w:r>
    </w:p>
    <w:p w:rsidR="00DE7222" w:rsidRPr="00437001" w:rsidRDefault="00DE7222" w:rsidP="005D2AC7">
      <w:pPr>
        <w:ind w:firstLine="720"/>
        <w:jc w:val="center"/>
        <w:rPr>
          <w:b/>
        </w:rPr>
      </w:pPr>
    </w:p>
    <w:p w:rsidR="005D2AC7" w:rsidRPr="00DE7222" w:rsidRDefault="005D2AC7" w:rsidP="005D2AC7">
      <w:pPr>
        <w:ind w:firstLine="720"/>
        <w:jc w:val="center"/>
        <w:rPr>
          <w:b/>
        </w:rPr>
      </w:pPr>
      <w:r w:rsidRPr="00DE7222">
        <w:rPr>
          <w:b/>
        </w:rPr>
        <w:t>Общие сведения</w:t>
      </w:r>
    </w:p>
    <w:p w:rsidR="005D2AC7" w:rsidRPr="00DE7222" w:rsidRDefault="005D2AC7" w:rsidP="005D2AC7">
      <w:pPr>
        <w:ind w:firstLine="720"/>
        <w:jc w:val="center"/>
      </w:pPr>
    </w:p>
    <w:p w:rsidR="00FB2BE7" w:rsidRPr="00DE7222" w:rsidRDefault="00FB2BE7" w:rsidP="00AD5B1B">
      <w:pPr>
        <w:ind w:firstLine="567"/>
        <w:jc w:val="both"/>
      </w:pPr>
      <w:r w:rsidRPr="00DE7222">
        <w:t xml:space="preserve">Согласно требованиям пункта 5 </w:t>
      </w:r>
      <w:r w:rsidR="000B4721" w:rsidRPr="00DE7222">
        <w:t>статьи 264.2 Бюджетного кодекса РФ (далее</w:t>
      </w:r>
      <w:r w:rsidR="008F6C0B" w:rsidRPr="00DE7222">
        <w:t xml:space="preserve"> </w:t>
      </w:r>
      <w:r w:rsidR="000B4721" w:rsidRPr="00DE7222">
        <w:t>- БК РФ) отчет об исполнении местного бюджета за 1 квартал, 1 полугодие</w:t>
      </w:r>
      <w:r w:rsidR="008F6C0B" w:rsidRPr="00DE7222">
        <w:t xml:space="preserve"> и</w:t>
      </w:r>
      <w:r w:rsidR="000B4721" w:rsidRPr="00DE7222">
        <w:t xml:space="preserve">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0B4721" w:rsidRPr="00A60EC4" w:rsidRDefault="000B4721" w:rsidP="00AD5B1B">
      <w:pPr>
        <w:ind w:firstLine="567"/>
        <w:jc w:val="both"/>
      </w:pPr>
      <w:proofErr w:type="gramStart"/>
      <w:r w:rsidRPr="00DE7222">
        <w:t>Отчет об исполнении</w:t>
      </w:r>
      <w:r w:rsidR="00243468">
        <w:t xml:space="preserve"> </w:t>
      </w:r>
      <w:r w:rsidRPr="00DE7222">
        <w:t>бюджета муниципального образования «Ахтубинский район»</w:t>
      </w:r>
      <w:r w:rsidR="00243468">
        <w:t xml:space="preserve"> </w:t>
      </w:r>
      <w:r w:rsidRPr="00DE7222">
        <w:t xml:space="preserve">за </w:t>
      </w:r>
      <w:r w:rsidR="00FC6394">
        <w:t>1 полугодие</w:t>
      </w:r>
      <w:r w:rsidR="00B558A1">
        <w:t xml:space="preserve"> </w:t>
      </w:r>
      <w:r w:rsidR="00E03795" w:rsidRPr="00DE7222">
        <w:t>202</w:t>
      </w:r>
      <w:r w:rsidR="00120EEB">
        <w:t>2</w:t>
      </w:r>
      <w:r w:rsidRPr="00DE7222">
        <w:t xml:space="preserve"> года</w:t>
      </w:r>
      <w:r w:rsidR="00B903BF" w:rsidRPr="00DE7222">
        <w:t>, утвержденный</w:t>
      </w:r>
      <w:r w:rsidR="00243468">
        <w:t xml:space="preserve"> </w:t>
      </w:r>
      <w:r w:rsidR="00B903BF" w:rsidRPr="00DE7222">
        <w:t xml:space="preserve">постановлением администрации МО «Ахтубинский район» </w:t>
      </w:r>
      <w:r w:rsidR="00B903BF" w:rsidRPr="00AD5B1B">
        <w:t xml:space="preserve">от </w:t>
      </w:r>
      <w:r w:rsidR="00FC6394">
        <w:t>29.07.2022</w:t>
      </w:r>
      <w:r w:rsidR="006851C7" w:rsidRPr="00AD5B1B">
        <w:t xml:space="preserve"> </w:t>
      </w:r>
      <w:r w:rsidR="00B903BF" w:rsidRPr="00AD5B1B">
        <w:t>г</w:t>
      </w:r>
      <w:r w:rsidR="006851C7" w:rsidRPr="00AD5B1B">
        <w:t>.</w:t>
      </w:r>
      <w:r w:rsidR="00B903BF" w:rsidRPr="00AD5B1B">
        <w:t xml:space="preserve"> № </w:t>
      </w:r>
      <w:r w:rsidR="00FC6394">
        <w:t>414</w:t>
      </w:r>
      <w:r w:rsidR="00B903BF" w:rsidRPr="00AD5B1B">
        <w:t xml:space="preserve"> </w:t>
      </w:r>
      <w:r w:rsidRPr="00DE7222">
        <w:t>(далее-отчет) п</w:t>
      </w:r>
      <w:r w:rsidR="005D2AC7" w:rsidRPr="00DE7222">
        <w:t>оступил</w:t>
      </w:r>
      <w:r w:rsidRPr="00DE7222">
        <w:t xml:space="preserve"> </w:t>
      </w:r>
      <w:r w:rsidR="00F0179F" w:rsidRPr="00A60EC4">
        <w:t xml:space="preserve">в </w:t>
      </w:r>
      <w:r w:rsidRPr="00A60EC4">
        <w:t>Контрольно-счетную палату МО «Ахтубинский</w:t>
      </w:r>
      <w:r w:rsidR="00243468" w:rsidRPr="00A60EC4">
        <w:t xml:space="preserve"> </w:t>
      </w:r>
      <w:r w:rsidRPr="00A60EC4">
        <w:t>район</w:t>
      </w:r>
      <w:r w:rsidR="00DE1F68" w:rsidRPr="00A60EC4">
        <w:t xml:space="preserve"> - </w:t>
      </w:r>
      <w:r w:rsidR="00FC6394">
        <w:t>02.08</w:t>
      </w:r>
      <w:r w:rsidR="00DE1F68" w:rsidRPr="00A60EC4">
        <w:t>.</w:t>
      </w:r>
      <w:r w:rsidR="00120EEB">
        <w:t>2022</w:t>
      </w:r>
      <w:r w:rsidR="00DE1F68" w:rsidRPr="00A60EC4">
        <w:t xml:space="preserve"> года,</w:t>
      </w:r>
      <w:r w:rsidR="00B558A1">
        <w:t xml:space="preserve"> </w:t>
      </w:r>
      <w:r w:rsidR="006851C7" w:rsidRPr="00A60EC4">
        <w:t>своевременно</w:t>
      </w:r>
      <w:r w:rsidR="00F0179F" w:rsidRPr="00A60EC4">
        <w:t xml:space="preserve"> </w:t>
      </w:r>
      <w:r w:rsidR="00B558A1">
        <w:t xml:space="preserve">в соответствии с </w:t>
      </w:r>
      <w:r w:rsidR="00DE1F68" w:rsidRPr="00A60EC4">
        <w:t>пункт</w:t>
      </w:r>
      <w:r w:rsidR="00B558A1">
        <w:t>ом</w:t>
      </w:r>
      <w:r w:rsidR="00DE1F68" w:rsidRPr="00A60EC4">
        <w:t xml:space="preserve"> 19.3 Положения о бюджетном процессе в муниципальном образовании «Ахтубинский район», утв. Решением Совета от 27.10.</w:t>
      </w:r>
      <w:r w:rsidR="00903FF5" w:rsidRPr="00A60EC4">
        <w:t>2016</w:t>
      </w:r>
      <w:r w:rsidR="00DE1F68" w:rsidRPr="00A60EC4">
        <w:t xml:space="preserve"> № 244</w:t>
      </w:r>
      <w:r w:rsidR="00FC6394">
        <w:t>, в течение 45</w:t>
      </w:r>
      <w:r w:rsidR="00FC6394" w:rsidRPr="00FC6394">
        <w:t xml:space="preserve"> дней после окончания</w:t>
      </w:r>
      <w:proofErr w:type="gramEnd"/>
      <w:r w:rsidR="00FC6394" w:rsidRPr="00FC6394">
        <w:t xml:space="preserve"> отчетного периода</w:t>
      </w:r>
      <w:r w:rsidR="00DE1F68" w:rsidRPr="00A60EC4">
        <w:t>.</w:t>
      </w:r>
    </w:p>
    <w:p w:rsidR="005D2AC7" w:rsidRPr="00DE7222" w:rsidRDefault="005D2AC7" w:rsidP="00AD5B1B">
      <w:pPr>
        <w:ind w:firstLine="567"/>
        <w:jc w:val="both"/>
      </w:pPr>
      <w:proofErr w:type="gramStart"/>
      <w:r w:rsidRPr="00A60EC4">
        <w:t>Аналитическая записка составлена в рамках исполнения полномочий Контрольно-счетной палаты</w:t>
      </w:r>
      <w:r w:rsidR="00A60EC4" w:rsidRPr="00A60EC4">
        <w:t xml:space="preserve"> МО «Ахтубинский район»</w:t>
      </w:r>
      <w:r w:rsidRPr="00A60EC4">
        <w:t xml:space="preserve">, </w:t>
      </w:r>
      <w:r w:rsidR="00CE44BD" w:rsidRPr="00A60EC4">
        <w:t>установленных пунктом 1 части 2 статьи 9 Федерального</w:t>
      </w:r>
      <w:r w:rsidR="00243468" w:rsidRPr="00A60EC4">
        <w:t xml:space="preserve"> </w:t>
      </w:r>
      <w:r w:rsidR="00CE44BD" w:rsidRPr="00A60EC4">
        <w:t>закона «Об общих принципах организации и деятельности контрольно-счетных органов субъектов Российской Федерации и муниципальных</w:t>
      </w:r>
      <w:r w:rsidR="00CE44BD" w:rsidRPr="00DE7222">
        <w:t xml:space="preserve"> образований</w:t>
      </w:r>
      <w:r w:rsidR="001A21AC" w:rsidRPr="00DE7222">
        <w:t>» от 07.02.2011г № 6-ФЗ,</w:t>
      </w:r>
      <w:r w:rsidRPr="00DE7222">
        <w:t xml:space="preserve"> статьей </w:t>
      </w:r>
      <w:r w:rsidR="006851C7" w:rsidRPr="00DE7222">
        <w:t>8</w:t>
      </w:r>
      <w:r w:rsidR="00EB1EE1" w:rsidRPr="00DE7222">
        <w:t xml:space="preserve"> Положения о Контрольно-счетной палате муниципального образования «Ахтубинский район», принятого решением Совета МО «Ахтубинский район» от </w:t>
      </w:r>
      <w:r w:rsidR="00910B79">
        <w:t>30</w:t>
      </w:r>
      <w:r w:rsidR="00EB1EE1" w:rsidRPr="00DE7222">
        <w:t>.0</w:t>
      </w:r>
      <w:r w:rsidR="00910B79">
        <w:t>9</w:t>
      </w:r>
      <w:r w:rsidR="00EB1EE1" w:rsidRPr="00DE7222">
        <w:t>.</w:t>
      </w:r>
      <w:r w:rsidR="00910B79">
        <w:t xml:space="preserve">2021 </w:t>
      </w:r>
      <w:r w:rsidR="00EB1EE1" w:rsidRPr="00DE7222">
        <w:t>г</w:t>
      </w:r>
      <w:r w:rsidR="00910B79">
        <w:t>.</w:t>
      </w:r>
      <w:r w:rsidR="00EB1EE1" w:rsidRPr="00DE7222">
        <w:t xml:space="preserve"> № </w:t>
      </w:r>
      <w:r w:rsidR="00910B79">
        <w:t>201</w:t>
      </w:r>
      <w:r w:rsidR="00EB1EE1" w:rsidRPr="00DE7222">
        <w:t xml:space="preserve"> и</w:t>
      </w:r>
      <w:proofErr w:type="gramEnd"/>
      <w:r w:rsidR="00EB1EE1" w:rsidRPr="00DE7222">
        <w:t xml:space="preserve"> пункта </w:t>
      </w:r>
      <w:r w:rsidR="00B903BF" w:rsidRPr="00DE7222">
        <w:t>2</w:t>
      </w:r>
      <w:r w:rsidR="00FC6394">
        <w:t>.4</w:t>
      </w:r>
      <w:r w:rsidR="00EB1EE1" w:rsidRPr="00DE7222">
        <w:t xml:space="preserve"> плана работы Контрольно-счетной палаты на </w:t>
      </w:r>
      <w:r w:rsidR="00120EEB">
        <w:t>2022</w:t>
      </w:r>
      <w:r w:rsidR="00EB1EE1" w:rsidRPr="00DE7222">
        <w:t xml:space="preserve"> год</w:t>
      </w:r>
      <w:r w:rsidR="00F0179F" w:rsidRPr="00DE7222">
        <w:t>.</w:t>
      </w:r>
    </w:p>
    <w:p w:rsidR="00F06857" w:rsidRPr="00DE7222" w:rsidRDefault="00F06857" w:rsidP="00E02493">
      <w:pPr>
        <w:ind w:firstLine="567"/>
        <w:jc w:val="both"/>
      </w:pPr>
    </w:p>
    <w:p w:rsidR="004F0DA6" w:rsidRPr="00DE7222" w:rsidRDefault="00F0179F" w:rsidP="0096042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</w:rPr>
      </w:pPr>
      <w:r w:rsidRPr="00DE7222">
        <w:rPr>
          <w:b/>
        </w:rPr>
        <w:t>Оценка</w:t>
      </w:r>
      <w:r w:rsidR="00F06857" w:rsidRPr="00DE7222">
        <w:rPr>
          <w:b/>
        </w:rPr>
        <w:t xml:space="preserve"> исполнения бюджета</w:t>
      </w:r>
      <w:r w:rsidR="00EB1EE1" w:rsidRPr="00DE7222">
        <w:rPr>
          <w:b/>
        </w:rPr>
        <w:t>, основные характеристики</w:t>
      </w:r>
      <w:r w:rsidR="00670F41" w:rsidRPr="00DE7222">
        <w:rPr>
          <w:b/>
        </w:rPr>
        <w:t xml:space="preserve"> </w:t>
      </w:r>
      <w:r w:rsidR="00EB1EE1" w:rsidRPr="00DE7222">
        <w:rPr>
          <w:b/>
        </w:rPr>
        <w:t>бюджета</w:t>
      </w:r>
      <w:r w:rsidR="00DE7222">
        <w:rPr>
          <w:b/>
        </w:rPr>
        <w:t>.</w:t>
      </w:r>
    </w:p>
    <w:p w:rsidR="00F06857" w:rsidRPr="00DE7222" w:rsidRDefault="00F06857" w:rsidP="00E02493">
      <w:pPr>
        <w:pStyle w:val="a3"/>
        <w:ind w:left="0" w:firstLine="567"/>
        <w:jc w:val="center"/>
        <w:rPr>
          <w:b/>
        </w:rPr>
      </w:pPr>
    </w:p>
    <w:p w:rsidR="00F06857" w:rsidRPr="00DE7222" w:rsidRDefault="00F06857" w:rsidP="00903FF5">
      <w:pPr>
        <w:pStyle w:val="a3"/>
        <w:ind w:left="0" w:firstLine="567"/>
        <w:jc w:val="both"/>
      </w:pPr>
      <w:r w:rsidRPr="00DE7222">
        <w:t xml:space="preserve">Решением Совета МО «Ахтубинский район» </w:t>
      </w:r>
      <w:r w:rsidR="00120EEB">
        <w:t>от 09.12.2021</w:t>
      </w:r>
      <w:r w:rsidR="00E03795" w:rsidRPr="00DE7222">
        <w:t xml:space="preserve"> № </w:t>
      </w:r>
      <w:r w:rsidR="00120EEB">
        <w:t>234</w:t>
      </w:r>
      <w:r w:rsidR="00E03795" w:rsidRPr="00DE7222">
        <w:t xml:space="preserve"> «О бюджете муниципального образования «Ахтубинский район» на 202</w:t>
      </w:r>
      <w:r w:rsidR="00120EEB">
        <w:t>2 год и на плановый период 2023 и 2024</w:t>
      </w:r>
      <w:r w:rsidR="00E03795" w:rsidRPr="00DE7222">
        <w:t xml:space="preserve"> год</w:t>
      </w:r>
      <w:r w:rsidR="00120EEB">
        <w:t>ов</w:t>
      </w:r>
      <w:r w:rsidR="00120EEB" w:rsidRPr="00FA60CB">
        <w:t>» (</w:t>
      </w:r>
      <w:r w:rsidR="00FA60CB" w:rsidRPr="00FA60CB">
        <w:t>в ред. от 04.03.2022</w:t>
      </w:r>
      <w:r w:rsidR="00120EEB" w:rsidRPr="00FA60CB">
        <w:t xml:space="preserve"> № </w:t>
      </w:r>
      <w:r w:rsidR="00FA60CB" w:rsidRPr="00FA60CB">
        <w:t>272</w:t>
      </w:r>
      <w:r w:rsidR="00903FF5" w:rsidRPr="00DE7222">
        <w:t>)</w:t>
      </w:r>
      <w:r w:rsidR="00B903BF" w:rsidRPr="00DE7222">
        <w:t xml:space="preserve">, </w:t>
      </w:r>
      <w:r w:rsidRPr="00DE7222">
        <w:t xml:space="preserve">утверждены основные характеристики бюджета МО «Ахтубинский район» на </w:t>
      </w:r>
      <w:r w:rsidR="00884FF4" w:rsidRPr="00DE7222">
        <w:t>202</w:t>
      </w:r>
      <w:r w:rsidR="00FA60CB">
        <w:t>2</w:t>
      </w:r>
      <w:r w:rsidRPr="00DE7222">
        <w:t xml:space="preserve"> год:</w:t>
      </w:r>
    </w:p>
    <w:p w:rsidR="00FA60CB" w:rsidRDefault="00FA60CB" w:rsidP="00FA60CB">
      <w:pPr>
        <w:jc w:val="both"/>
      </w:pPr>
      <w:r>
        <w:t>1) общий объем доходов в сумме 1 456 389,44222 тыс. руб., в том числе за счет межбюджетных трансфертов, получаемых из других бюджетов бюджетной системы РФ – 966 200,16617 тыс. руб.;</w:t>
      </w:r>
    </w:p>
    <w:p w:rsidR="00FA60CB" w:rsidRDefault="00FA60CB" w:rsidP="00FA60CB">
      <w:pPr>
        <w:jc w:val="both"/>
      </w:pPr>
      <w:r>
        <w:t>2) общий объем расходов в сумме 1 456 334,06889 тыс. руб.;</w:t>
      </w:r>
    </w:p>
    <w:p w:rsidR="001A51CF" w:rsidRPr="005711E1" w:rsidRDefault="00FA60CB" w:rsidP="00FA60CB">
      <w:pPr>
        <w:jc w:val="both"/>
      </w:pPr>
      <w:r>
        <w:t>3) профицит в сумме 55,37333 тыс. руб.</w:t>
      </w:r>
    </w:p>
    <w:p w:rsidR="000D180C" w:rsidRPr="00DE7222" w:rsidRDefault="008839FB" w:rsidP="001A51CF">
      <w:pPr>
        <w:ind w:firstLine="709"/>
        <w:jc w:val="both"/>
      </w:pPr>
      <w:r w:rsidRPr="00DE7222">
        <w:t>Показатели и</w:t>
      </w:r>
      <w:r w:rsidR="000D180C" w:rsidRPr="00DE7222">
        <w:t>сполнени</w:t>
      </w:r>
      <w:r w:rsidRPr="00DE7222">
        <w:t>я</w:t>
      </w:r>
      <w:r w:rsidR="000D180C" w:rsidRPr="00DE7222">
        <w:t xml:space="preserve"> бюджета за </w:t>
      </w:r>
      <w:r w:rsidR="00FC6394">
        <w:t>1 полугодие</w:t>
      </w:r>
      <w:r w:rsidR="000D180C" w:rsidRPr="00DE7222">
        <w:t xml:space="preserve"> </w:t>
      </w:r>
      <w:r w:rsidR="00FA60CB">
        <w:t>2022</w:t>
      </w:r>
      <w:r w:rsidR="000D180C" w:rsidRPr="00DE7222">
        <w:t xml:space="preserve"> года</w:t>
      </w:r>
      <w:r w:rsidR="00786ADE" w:rsidRPr="00DE7222">
        <w:t xml:space="preserve"> по основным п</w:t>
      </w:r>
      <w:r w:rsidR="00680B97" w:rsidRPr="00DE7222">
        <w:t>араметрам</w:t>
      </w:r>
      <w:r w:rsidR="000D180C" w:rsidRPr="00DE7222">
        <w:t xml:space="preserve"> и динамика исполнения к соо</w:t>
      </w:r>
      <w:r w:rsidR="00786ADE" w:rsidRPr="00DE7222">
        <w:t xml:space="preserve">тветствующему периоду </w:t>
      </w:r>
      <w:r w:rsidR="00380781" w:rsidRPr="00DE7222">
        <w:t>202</w:t>
      </w:r>
      <w:r w:rsidR="00FA60CB">
        <w:t>1</w:t>
      </w:r>
      <w:r w:rsidR="00786ADE" w:rsidRPr="00DE7222">
        <w:t xml:space="preserve"> года, пр</w:t>
      </w:r>
      <w:r w:rsidR="00482098" w:rsidRPr="00DE7222">
        <w:t>едставлен</w:t>
      </w:r>
      <w:r w:rsidRPr="00DE7222">
        <w:t>ы</w:t>
      </w:r>
      <w:r w:rsidR="00482098" w:rsidRPr="00DE7222">
        <w:t xml:space="preserve"> </w:t>
      </w:r>
      <w:r w:rsidR="00786ADE" w:rsidRPr="00DE7222">
        <w:t>в таблице</w:t>
      </w:r>
      <w:r w:rsidR="00366089" w:rsidRPr="00DE7222">
        <w:t xml:space="preserve"> №1</w:t>
      </w:r>
      <w:r w:rsidR="000D180C" w:rsidRPr="00DE7222">
        <w:t>:</w:t>
      </w:r>
    </w:p>
    <w:p w:rsidR="00AF300F" w:rsidRPr="00DE7222" w:rsidRDefault="001A51CF" w:rsidP="00E02493">
      <w:pPr>
        <w:pStyle w:val="a3"/>
        <w:ind w:left="0" w:firstLine="567"/>
        <w:jc w:val="right"/>
      </w:pPr>
      <w:r>
        <w:t>Таблица № 1</w:t>
      </w:r>
      <w:r w:rsidR="00366089" w:rsidRPr="00DE7222">
        <w:t xml:space="preserve"> </w:t>
      </w:r>
      <w:r w:rsidR="00AD1626" w:rsidRPr="00DE7222">
        <w:t>(</w:t>
      </w:r>
      <w:r w:rsidR="00AF300F" w:rsidRPr="00DE7222">
        <w:t>тыс.</w:t>
      </w:r>
      <w:r w:rsidR="008E0BF4">
        <w:t xml:space="preserve"> </w:t>
      </w:r>
      <w:r w:rsidR="00AF300F" w:rsidRPr="00DE7222">
        <w:t>руб.</w:t>
      </w:r>
      <w:r w:rsidR="00AD1626" w:rsidRPr="00DE7222">
        <w:t>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559"/>
        <w:gridCol w:w="1418"/>
        <w:gridCol w:w="992"/>
        <w:gridCol w:w="1276"/>
      </w:tblGrid>
      <w:tr w:rsidR="00655895" w:rsidRPr="0096042C" w:rsidTr="004D10B1">
        <w:trPr>
          <w:trHeight w:val="1441"/>
        </w:trPr>
        <w:tc>
          <w:tcPr>
            <w:tcW w:w="2850" w:type="dxa"/>
            <w:shd w:val="clear" w:color="auto" w:fill="auto"/>
            <w:vAlign w:val="center"/>
            <w:hideMark/>
          </w:tcPr>
          <w:p w:rsidR="00655895" w:rsidRPr="0096042C" w:rsidRDefault="00655895" w:rsidP="0038078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5895" w:rsidRDefault="00655895" w:rsidP="00E96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</w:t>
            </w:r>
            <w:r w:rsidR="00E964FA">
              <w:rPr>
                <w:color w:val="000000"/>
                <w:sz w:val="20"/>
                <w:szCs w:val="20"/>
              </w:rPr>
              <w:t>на 01.07.2021 г.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по плану на 2022 г (с уточнениями от 04.03.2022г.)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895" w:rsidRDefault="00655895" w:rsidP="00E964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</w:t>
            </w:r>
            <w:r w:rsidR="00E964FA">
              <w:rPr>
                <w:color w:val="000000"/>
                <w:sz w:val="20"/>
                <w:szCs w:val="20"/>
              </w:rPr>
              <w:t>н на 01.07.</w:t>
            </w:r>
            <w:r>
              <w:rPr>
                <w:color w:val="000000"/>
                <w:sz w:val="20"/>
                <w:szCs w:val="20"/>
              </w:rPr>
              <w:t xml:space="preserve"> 2022 г</w:t>
            </w:r>
            <w:r w:rsidR="00E964F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исполнения к утвержденному плану на 2022 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Темпы роста к соответствующему периоду 2021 года, %</w:t>
            </w:r>
          </w:p>
        </w:tc>
      </w:tr>
      <w:tr w:rsidR="00655895" w:rsidRPr="0096042C" w:rsidTr="002C3094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655895" w:rsidRPr="00132A97" w:rsidRDefault="00655895">
            <w:pPr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741 119,83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1 456 389,44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757 784,53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102,25</w:t>
            </w:r>
          </w:p>
        </w:tc>
      </w:tr>
      <w:tr w:rsidR="00655895" w:rsidRPr="0096042C" w:rsidTr="002C3094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655895" w:rsidRDefault="006558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187 170,25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486 216,74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220 388,05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117,75</w:t>
            </w:r>
          </w:p>
        </w:tc>
      </w:tr>
      <w:tr w:rsidR="00655895" w:rsidRPr="0096042C" w:rsidTr="002C3094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655895" w:rsidRDefault="00655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553 949,58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970 172,70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537 396,48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97,01</w:t>
            </w:r>
          </w:p>
        </w:tc>
      </w:tr>
      <w:tr w:rsidR="00655895" w:rsidRPr="0096042C" w:rsidTr="007848B1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655895" w:rsidRPr="00132A97" w:rsidRDefault="00655895">
            <w:pPr>
              <w:rPr>
                <w:b/>
                <w:color w:val="000000"/>
                <w:sz w:val="20"/>
                <w:szCs w:val="20"/>
              </w:rPr>
            </w:pPr>
            <w:r w:rsidRPr="00132A97">
              <w:rPr>
                <w:b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821 386,93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1 456 334,07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747 853,73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91,05</w:t>
            </w:r>
          </w:p>
        </w:tc>
      </w:tr>
      <w:tr w:rsidR="00655895" w:rsidRPr="0096042C" w:rsidTr="002C3094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655895" w:rsidRDefault="00655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(-)/ </w:t>
            </w:r>
            <w:proofErr w:type="gramEnd"/>
            <w:r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-80 267,11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9 930,80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895" w:rsidRDefault="00655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A60EC4" w:rsidRPr="00132A97" w:rsidRDefault="00A60EC4" w:rsidP="00E02493">
      <w:pPr>
        <w:pStyle w:val="a3"/>
        <w:ind w:left="0" w:firstLine="567"/>
        <w:jc w:val="both"/>
      </w:pPr>
      <w:r w:rsidRPr="00132A97">
        <w:t>Основные параметры</w:t>
      </w:r>
      <w:r w:rsidR="00E02493" w:rsidRPr="00132A97">
        <w:t xml:space="preserve"> исполнения</w:t>
      </w:r>
      <w:r w:rsidR="00050650" w:rsidRPr="00132A97">
        <w:t xml:space="preserve"> бюджета</w:t>
      </w:r>
      <w:r w:rsidRPr="00132A97">
        <w:t>:</w:t>
      </w:r>
    </w:p>
    <w:p w:rsidR="0074480D" w:rsidRPr="00132A97" w:rsidRDefault="0074480D" w:rsidP="00E02493">
      <w:pPr>
        <w:pStyle w:val="a3"/>
        <w:ind w:left="0" w:firstLine="567"/>
        <w:jc w:val="both"/>
      </w:pPr>
      <w:r w:rsidRPr="00132A97">
        <w:t xml:space="preserve">- </w:t>
      </w:r>
      <w:r w:rsidR="00366089" w:rsidRPr="00132A97">
        <w:t xml:space="preserve">по </w:t>
      </w:r>
      <w:r w:rsidR="00366089" w:rsidRPr="00132A97">
        <w:rPr>
          <w:b/>
          <w:i/>
        </w:rPr>
        <w:t>доходам</w:t>
      </w:r>
      <w:r w:rsidRPr="00132A97">
        <w:t xml:space="preserve"> исполнение составило </w:t>
      </w:r>
      <w:r w:rsidR="00655895">
        <w:t>757784,53</w:t>
      </w:r>
      <w:r w:rsidR="007A734E" w:rsidRPr="00132A97">
        <w:t xml:space="preserve"> тыс.</w:t>
      </w:r>
      <w:r w:rsidR="008E0BF4" w:rsidRPr="00132A97">
        <w:t xml:space="preserve"> </w:t>
      </w:r>
      <w:r w:rsidR="007A734E" w:rsidRPr="00132A97">
        <w:t>руб.</w:t>
      </w:r>
      <w:r w:rsidR="00050650" w:rsidRPr="00132A97">
        <w:t xml:space="preserve"> или </w:t>
      </w:r>
      <w:r w:rsidR="00C66CC8" w:rsidRPr="00C66CC8">
        <w:t>52,0% к утвержденному прогнозу (1456389,44 тыс. руб.), увеличение общего объема доходов относительно аналогичного периода 2021 года составляет 102,25% или на 16664,7 тыс. руб. больше</w:t>
      </w:r>
      <w:r w:rsidRPr="00132A97">
        <w:t>;</w:t>
      </w:r>
    </w:p>
    <w:p w:rsidR="0074480D" w:rsidRPr="00132A97" w:rsidRDefault="0074480D" w:rsidP="00E02493">
      <w:pPr>
        <w:pStyle w:val="a3"/>
        <w:ind w:left="0" w:firstLine="567"/>
        <w:jc w:val="both"/>
      </w:pPr>
      <w:r w:rsidRPr="00132A97">
        <w:t>-</w:t>
      </w:r>
      <w:r w:rsidR="00366089" w:rsidRPr="00132A97">
        <w:t xml:space="preserve"> по </w:t>
      </w:r>
      <w:r w:rsidR="00366089" w:rsidRPr="00132A97">
        <w:rPr>
          <w:b/>
          <w:i/>
        </w:rPr>
        <w:t>расходам</w:t>
      </w:r>
      <w:r w:rsidRPr="00132A97">
        <w:t xml:space="preserve"> исполнение составило </w:t>
      </w:r>
      <w:r w:rsidR="00655895">
        <w:t>747853,73</w:t>
      </w:r>
      <w:r w:rsidR="00286A37" w:rsidRPr="00132A97">
        <w:t xml:space="preserve"> </w:t>
      </w:r>
      <w:r w:rsidRPr="00132A97">
        <w:t>тыс.</w:t>
      </w:r>
      <w:r w:rsidR="008E0BF4" w:rsidRPr="00132A97">
        <w:t xml:space="preserve"> </w:t>
      </w:r>
      <w:r w:rsidRPr="00132A97">
        <w:t>руб.,</w:t>
      </w:r>
      <w:r w:rsidR="00422FF8" w:rsidRPr="00132A97">
        <w:t xml:space="preserve"> или </w:t>
      </w:r>
      <w:r w:rsidR="00C66CC8" w:rsidRPr="00C66CC8">
        <w:t>на 51,4% от годовых назначений</w:t>
      </w:r>
      <w:r w:rsidR="00C66CC8">
        <w:t xml:space="preserve"> (1456</w:t>
      </w:r>
      <w:r w:rsidR="00C66CC8" w:rsidRPr="00C66CC8">
        <w:t xml:space="preserve">334,07 </w:t>
      </w:r>
      <w:r w:rsidR="00C66CC8">
        <w:t>тыс. руб.)</w:t>
      </w:r>
      <w:r w:rsidR="00C66CC8" w:rsidRPr="00C66CC8">
        <w:t>, или 91,05% к аналогичному периоду 2021 года (821386,93 тыс. руб.)</w:t>
      </w:r>
      <w:r w:rsidR="00C66CC8">
        <w:t xml:space="preserve"> или на 73533,2 тыс. руб.</w:t>
      </w:r>
      <w:r w:rsidR="005A75F0" w:rsidRPr="00132A97">
        <w:t>;</w:t>
      </w:r>
    </w:p>
    <w:p w:rsidR="00366089" w:rsidRPr="0096042C" w:rsidRDefault="0074480D" w:rsidP="00E02493">
      <w:pPr>
        <w:pStyle w:val="a3"/>
        <w:ind w:left="0" w:firstLine="567"/>
        <w:jc w:val="both"/>
      </w:pPr>
      <w:r w:rsidRPr="00132A97">
        <w:t>-</w:t>
      </w:r>
      <w:r w:rsidR="00366089" w:rsidRPr="00132A97">
        <w:t xml:space="preserve"> по результату исполнения бюджета</w:t>
      </w:r>
      <w:r w:rsidRPr="00132A97">
        <w:t xml:space="preserve"> </w:t>
      </w:r>
      <w:r w:rsidR="007A734E" w:rsidRPr="00132A97">
        <w:t xml:space="preserve">сложился </w:t>
      </w:r>
      <w:r w:rsidR="00132A97" w:rsidRPr="00132A97">
        <w:rPr>
          <w:b/>
          <w:i/>
        </w:rPr>
        <w:t>профицит</w:t>
      </w:r>
      <w:r w:rsidRPr="00132A97">
        <w:t xml:space="preserve"> </w:t>
      </w:r>
      <w:r w:rsidR="007A734E" w:rsidRPr="00132A97">
        <w:t>в размере</w:t>
      </w:r>
      <w:r w:rsidRPr="00132A97">
        <w:t xml:space="preserve"> </w:t>
      </w:r>
      <w:r w:rsidR="00655895">
        <w:t>9930,8</w:t>
      </w:r>
      <w:r w:rsidRPr="00132A97">
        <w:t xml:space="preserve"> тыс.</w:t>
      </w:r>
      <w:r w:rsidR="008E0BF4" w:rsidRPr="00132A97">
        <w:t xml:space="preserve"> </w:t>
      </w:r>
      <w:r w:rsidRPr="00132A97">
        <w:t>руб</w:t>
      </w:r>
      <w:r w:rsidR="00366089" w:rsidRPr="00132A97">
        <w:t>.</w:t>
      </w:r>
    </w:p>
    <w:p w:rsidR="00670F41" w:rsidRDefault="00670F41" w:rsidP="00670F41">
      <w:pPr>
        <w:jc w:val="both"/>
        <w:rPr>
          <w:sz w:val="22"/>
          <w:szCs w:val="22"/>
        </w:rPr>
      </w:pPr>
    </w:p>
    <w:p w:rsidR="00EC5238" w:rsidRPr="0096042C" w:rsidRDefault="005248D9" w:rsidP="008B2B40">
      <w:pPr>
        <w:pStyle w:val="a3"/>
        <w:numPr>
          <w:ilvl w:val="0"/>
          <w:numId w:val="2"/>
        </w:numPr>
        <w:jc w:val="center"/>
        <w:rPr>
          <w:b/>
        </w:rPr>
      </w:pPr>
      <w:r w:rsidRPr="0096042C">
        <w:rPr>
          <w:b/>
        </w:rPr>
        <w:t>Анализ и</w:t>
      </w:r>
      <w:r w:rsidR="00EC5238" w:rsidRPr="0096042C">
        <w:rPr>
          <w:b/>
        </w:rPr>
        <w:t>сполнени</w:t>
      </w:r>
      <w:r w:rsidR="004F3E35" w:rsidRPr="0096042C">
        <w:rPr>
          <w:b/>
        </w:rPr>
        <w:t>я</w:t>
      </w:r>
      <w:r w:rsidR="00EC5238" w:rsidRPr="0096042C">
        <w:rPr>
          <w:b/>
        </w:rPr>
        <w:t xml:space="preserve"> доход</w:t>
      </w:r>
      <w:r w:rsidRPr="0096042C">
        <w:rPr>
          <w:b/>
        </w:rPr>
        <w:t>ной</w:t>
      </w:r>
      <w:r w:rsidR="00132A97">
        <w:rPr>
          <w:b/>
        </w:rPr>
        <w:t xml:space="preserve"> части бюджета.</w:t>
      </w:r>
    </w:p>
    <w:p w:rsidR="008B2B40" w:rsidRPr="0096042C" w:rsidRDefault="008B2B40" w:rsidP="008B2B40">
      <w:pPr>
        <w:pStyle w:val="a3"/>
        <w:ind w:left="1080"/>
        <w:rPr>
          <w:b/>
        </w:rPr>
      </w:pPr>
    </w:p>
    <w:p w:rsidR="004F0DA6" w:rsidRPr="00C66CC8" w:rsidRDefault="002C4D43" w:rsidP="00E02493">
      <w:pPr>
        <w:ind w:firstLine="567"/>
        <w:jc w:val="both"/>
      </w:pPr>
      <w:r w:rsidRPr="00C66CC8">
        <w:t xml:space="preserve">За </w:t>
      </w:r>
      <w:r w:rsidR="003C5918" w:rsidRPr="00C66CC8">
        <w:t>1 полугодие</w:t>
      </w:r>
      <w:r w:rsidR="004A0719" w:rsidRPr="00C66CC8">
        <w:rPr>
          <w:b/>
        </w:rPr>
        <w:t xml:space="preserve"> </w:t>
      </w:r>
      <w:r w:rsidR="007D12F1" w:rsidRPr="00C66CC8">
        <w:t>2022</w:t>
      </w:r>
      <w:r w:rsidR="005A75F0" w:rsidRPr="00C66CC8">
        <w:t xml:space="preserve"> </w:t>
      </w:r>
      <w:r w:rsidR="004A0719" w:rsidRPr="00C66CC8">
        <w:t>года</w:t>
      </w:r>
      <w:r w:rsidR="004A0719" w:rsidRPr="00C66CC8">
        <w:rPr>
          <w:b/>
        </w:rPr>
        <w:t xml:space="preserve"> </w:t>
      </w:r>
      <w:r w:rsidR="004A0719" w:rsidRPr="00C66CC8">
        <w:rPr>
          <w:b/>
          <w:i/>
        </w:rPr>
        <w:t>в д</w:t>
      </w:r>
      <w:r w:rsidR="004F0DA6" w:rsidRPr="00C66CC8">
        <w:rPr>
          <w:b/>
          <w:i/>
        </w:rPr>
        <w:t>оход</w:t>
      </w:r>
      <w:r w:rsidR="004A0719" w:rsidRPr="00C66CC8">
        <w:rPr>
          <w:b/>
          <w:i/>
        </w:rPr>
        <w:t xml:space="preserve">ную часть бюджета </w:t>
      </w:r>
      <w:r w:rsidR="004A0719" w:rsidRPr="00C66CC8">
        <w:t>поступило</w:t>
      </w:r>
      <w:r w:rsidR="004F0DA6" w:rsidRPr="00C66CC8">
        <w:t xml:space="preserve"> </w:t>
      </w:r>
      <w:r w:rsidR="003C5918" w:rsidRPr="00C66CC8">
        <w:t>757784,53</w:t>
      </w:r>
      <w:r w:rsidR="00132A97" w:rsidRPr="00C66CC8">
        <w:t xml:space="preserve"> </w:t>
      </w:r>
      <w:r w:rsidR="004F0DA6" w:rsidRPr="00C66CC8">
        <w:t>тыс. рублей</w:t>
      </w:r>
      <w:r w:rsidR="00072EA5" w:rsidRPr="00C66CC8">
        <w:t>,</w:t>
      </w:r>
      <w:r w:rsidR="00C66CC8" w:rsidRPr="00C66CC8">
        <w:t xml:space="preserve"> что на 16664,7 тыс. больше чем в аналогичном периоде прошлого года,</w:t>
      </w:r>
      <w:r w:rsidR="00D458F3" w:rsidRPr="00C66CC8">
        <w:t xml:space="preserve"> </w:t>
      </w:r>
      <w:r w:rsidR="005C774B" w:rsidRPr="00C66CC8">
        <w:t xml:space="preserve">за счет </w:t>
      </w:r>
      <w:r w:rsidR="00FD6623" w:rsidRPr="00C66CC8">
        <w:t>увеличения</w:t>
      </w:r>
      <w:r w:rsidR="00443DE7" w:rsidRPr="00C66CC8">
        <w:t xml:space="preserve"> налоговых </w:t>
      </w:r>
      <w:r w:rsidR="008B2B40" w:rsidRPr="00C66CC8">
        <w:t>доходов</w:t>
      </w:r>
      <w:r w:rsidR="00286CCE" w:rsidRPr="00C66CC8">
        <w:t xml:space="preserve"> на</w:t>
      </w:r>
      <w:r w:rsidR="008B2B40" w:rsidRPr="00C66CC8">
        <w:t xml:space="preserve"> </w:t>
      </w:r>
      <w:r w:rsidR="003C5918" w:rsidRPr="00C66CC8">
        <w:t xml:space="preserve">4335,94 </w:t>
      </w:r>
      <w:r w:rsidR="008B2B40" w:rsidRPr="00C66CC8">
        <w:t>тыс.</w:t>
      </w:r>
      <w:r w:rsidR="008E0BF4" w:rsidRPr="00C66CC8">
        <w:t xml:space="preserve"> </w:t>
      </w:r>
      <w:r w:rsidR="00C66CC8" w:rsidRPr="00C66CC8">
        <w:t>руб.</w:t>
      </w:r>
      <w:r w:rsidR="0089548B" w:rsidRPr="00C66CC8">
        <w:t>, неналоговых</w:t>
      </w:r>
      <w:r w:rsidR="008B2B40" w:rsidRPr="00C66CC8">
        <w:t xml:space="preserve"> доходов</w:t>
      </w:r>
      <w:r w:rsidR="0089548B" w:rsidRPr="00C66CC8">
        <w:t xml:space="preserve"> </w:t>
      </w:r>
      <w:r w:rsidR="00286CCE" w:rsidRPr="00C66CC8">
        <w:t xml:space="preserve">на </w:t>
      </w:r>
      <w:r w:rsidR="003C5918" w:rsidRPr="00C66CC8">
        <w:t>28881,86</w:t>
      </w:r>
      <w:r w:rsidR="00286CCE" w:rsidRPr="00C66CC8">
        <w:t xml:space="preserve"> </w:t>
      </w:r>
      <w:r w:rsidR="008B2B40" w:rsidRPr="00C66CC8">
        <w:t xml:space="preserve">тыс. руб. </w:t>
      </w:r>
      <w:r w:rsidR="0089548B" w:rsidRPr="00C66CC8">
        <w:t xml:space="preserve">и </w:t>
      </w:r>
      <w:r w:rsidR="00286CCE" w:rsidRPr="00C66CC8">
        <w:t>у</w:t>
      </w:r>
      <w:r w:rsidR="003C5918" w:rsidRPr="00C66CC8">
        <w:t>меньшения</w:t>
      </w:r>
      <w:r w:rsidR="008B2B40" w:rsidRPr="00C66CC8">
        <w:t xml:space="preserve"> </w:t>
      </w:r>
      <w:r w:rsidR="0089548B" w:rsidRPr="00C66CC8">
        <w:t xml:space="preserve">безвозмездных </w:t>
      </w:r>
      <w:r w:rsidR="005C774B" w:rsidRPr="00C66CC8">
        <w:t>поступлений</w:t>
      </w:r>
      <w:r w:rsidR="0089548B" w:rsidRPr="00C66CC8">
        <w:t xml:space="preserve"> </w:t>
      </w:r>
      <w:r w:rsidR="007F01B3" w:rsidRPr="00C66CC8">
        <w:t xml:space="preserve">на </w:t>
      </w:r>
      <w:r w:rsidR="003C5918" w:rsidRPr="00C66CC8">
        <w:t xml:space="preserve">16553,1 </w:t>
      </w:r>
      <w:r w:rsidR="00C66CC8" w:rsidRPr="00C66CC8">
        <w:t>тыс. руб</w:t>
      </w:r>
      <w:proofErr w:type="gramStart"/>
      <w:r w:rsidR="00C66CC8" w:rsidRPr="00C66CC8">
        <w:t>..</w:t>
      </w:r>
      <w:proofErr w:type="gramEnd"/>
    </w:p>
    <w:p w:rsidR="00336F7B" w:rsidRPr="00C66CC8" w:rsidRDefault="00336F7B" w:rsidP="00336F7B">
      <w:pPr>
        <w:shd w:val="clear" w:color="auto" w:fill="FFFFFF"/>
        <w:ind w:firstLine="709"/>
        <w:jc w:val="both"/>
      </w:pPr>
      <w:r w:rsidRPr="00C66CC8">
        <w:t>Показатели исполнения собственных доходов бюджета,</w:t>
      </w:r>
      <w:r w:rsidR="00243468" w:rsidRPr="00C66CC8">
        <w:t xml:space="preserve"> </w:t>
      </w:r>
      <w:r w:rsidR="00852E09" w:rsidRPr="00C66CC8">
        <w:t>по состоянию на 01.07</w:t>
      </w:r>
      <w:r w:rsidR="00286CCE" w:rsidRPr="00C66CC8">
        <w:t>.2022</w:t>
      </w:r>
      <w:r w:rsidRPr="00C66CC8">
        <w:t>г</w:t>
      </w:r>
      <w:r w:rsidR="008E0BF4" w:rsidRPr="00C66CC8">
        <w:t>.</w:t>
      </w:r>
      <w:r w:rsidRPr="00C66CC8">
        <w:t>, представлены в Таблице</w:t>
      </w:r>
      <w:r w:rsidR="008B2B40" w:rsidRPr="00C66CC8">
        <w:t xml:space="preserve"> №2</w:t>
      </w:r>
      <w:r w:rsidRPr="00C66CC8">
        <w:t>:</w:t>
      </w:r>
    </w:p>
    <w:p w:rsidR="00336F7B" w:rsidRPr="0096042C" w:rsidRDefault="0089548B" w:rsidP="00336F7B">
      <w:pPr>
        <w:shd w:val="clear" w:color="auto" w:fill="FFFFFF"/>
        <w:ind w:firstLine="709"/>
        <w:jc w:val="right"/>
      </w:pPr>
      <w:r w:rsidRPr="0096042C">
        <w:t>Таблица №2</w:t>
      </w:r>
      <w:r w:rsidR="00601BAE" w:rsidRPr="0096042C">
        <w:t xml:space="preserve"> </w:t>
      </w:r>
      <w:r w:rsidRPr="0096042C">
        <w:t>(</w:t>
      </w:r>
      <w:r w:rsidR="00336F7B" w:rsidRPr="0096042C">
        <w:t>тыс.</w:t>
      </w:r>
      <w:r w:rsidR="008E0BF4">
        <w:t xml:space="preserve"> </w:t>
      </w:r>
      <w:r w:rsidR="00336F7B" w:rsidRPr="0096042C">
        <w:t>руб.</w:t>
      </w:r>
      <w:r w:rsidRPr="0096042C">
        <w:t>)</w:t>
      </w:r>
    </w:p>
    <w:tbl>
      <w:tblPr>
        <w:tblW w:w="9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236"/>
        <w:gridCol w:w="1620"/>
        <w:gridCol w:w="1321"/>
        <w:gridCol w:w="1336"/>
      </w:tblGrid>
      <w:tr w:rsidR="00691E89" w:rsidRPr="00691E89" w:rsidTr="005E1518">
        <w:trPr>
          <w:trHeight w:val="58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5E1518" w:rsidP="00691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691E89" w:rsidRPr="00691E89">
              <w:rPr>
                <w:color w:val="000000"/>
                <w:sz w:val="22"/>
                <w:szCs w:val="22"/>
              </w:rPr>
              <w:t>источника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5E1518" w:rsidP="00691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бюджета на 01.07</w:t>
            </w:r>
            <w:r w:rsidR="006B5DC3">
              <w:rPr>
                <w:color w:val="000000"/>
                <w:sz w:val="22"/>
                <w:szCs w:val="22"/>
              </w:rPr>
              <w:t>.2021</w:t>
            </w:r>
            <w:r w:rsidR="00691E89" w:rsidRPr="00691E89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B5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E89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6B5DC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91E8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B5DC3" w:rsidP="00691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Темпы роста 2022 к 2021</w:t>
            </w:r>
            <w:r w:rsidR="00691E89" w:rsidRPr="00691E89">
              <w:rPr>
                <w:color w:val="000000"/>
                <w:sz w:val="20"/>
                <w:szCs w:val="20"/>
              </w:rPr>
              <w:t xml:space="preserve"> (%) гр.4/гр.2*100</w:t>
            </w:r>
          </w:p>
        </w:tc>
      </w:tr>
      <w:tr w:rsidR="00691E89" w:rsidRPr="00691E89" w:rsidTr="005E1518">
        <w:trPr>
          <w:trHeight w:val="52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уточненный прогноз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5E1518" w:rsidP="00691E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на 01.07</w:t>
            </w:r>
            <w:r w:rsidR="006B5DC3">
              <w:rPr>
                <w:color w:val="000000"/>
                <w:sz w:val="22"/>
                <w:szCs w:val="22"/>
              </w:rPr>
              <w:t>.2022</w:t>
            </w:r>
            <w:r w:rsidR="00691E89" w:rsidRPr="00691E89">
              <w:rPr>
                <w:color w:val="000000"/>
                <w:sz w:val="22"/>
                <w:szCs w:val="22"/>
              </w:rPr>
              <w:t xml:space="preserve">г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9" w:rsidRPr="00691E89" w:rsidRDefault="00691E89" w:rsidP="00691E89">
            <w:pPr>
              <w:rPr>
                <w:color w:val="000000"/>
                <w:sz w:val="20"/>
                <w:szCs w:val="20"/>
              </w:rPr>
            </w:pPr>
          </w:p>
        </w:tc>
      </w:tr>
      <w:tr w:rsidR="00691E89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89" w:rsidRPr="00691E89" w:rsidRDefault="00691E89" w:rsidP="00691E89">
            <w:pPr>
              <w:jc w:val="center"/>
              <w:rPr>
                <w:color w:val="000000"/>
                <w:sz w:val="22"/>
                <w:szCs w:val="22"/>
              </w:rPr>
            </w:pPr>
            <w:r w:rsidRPr="00691E89">
              <w:rPr>
                <w:color w:val="000000"/>
                <w:sz w:val="22"/>
                <w:szCs w:val="22"/>
              </w:rPr>
              <w:t>гр.6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bCs/>
                <w:color w:val="000000"/>
                <w:sz w:val="22"/>
                <w:szCs w:val="22"/>
              </w:rPr>
            </w:pPr>
            <w:r w:rsidRPr="00691E89">
              <w:rPr>
                <w:bCs/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187170,25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486 216,74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220 388,05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117,75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bCs/>
                <w:color w:val="000000"/>
                <w:sz w:val="22"/>
                <w:szCs w:val="22"/>
              </w:rPr>
            </w:pPr>
            <w:r w:rsidRPr="00691E89">
              <w:rPr>
                <w:bCs/>
                <w:color w:val="000000"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171740,06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384 909,83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176 076,00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102,52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114361,87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289 455,50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119 075,89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104,12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14683,98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35 026,33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18 969,15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129,18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jc w:val="both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38069,26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81,81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jc w:val="both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4624,85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6 884,52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148,86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jc w:val="both"/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Целевые сборы с граждан и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182,07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E89">
              <w:rPr>
                <w:b/>
                <w:bCs/>
                <w:color w:val="000000"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15430,20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101 306,91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44 312,06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287,18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 xml:space="preserve">Доходы от использования </w:t>
            </w:r>
            <w:r w:rsidRPr="00691E89">
              <w:rPr>
                <w:color w:val="00000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12145,95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35 537,28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10 708,64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88,17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171,72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62 268,70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22 246,37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7710,68</w:t>
            </w:r>
          </w:p>
        </w:tc>
      </w:tr>
      <w:tr w:rsidR="005E1518" w:rsidRPr="00691E89" w:rsidTr="005E151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1 649,75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9 386,93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731,66</w:t>
            </w:r>
          </w:p>
        </w:tc>
      </w:tr>
      <w:tr w:rsidR="005E1518" w:rsidRPr="00691E89" w:rsidTr="005E151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Штрафы, санкции, возмещение ущерба, административные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1 774,25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1 544,85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102,16</w:t>
            </w:r>
          </w:p>
        </w:tc>
      </w:tr>
      <w:tr w:rsidR="005E1518" w:rsidRPr="00691E89" w:rsidTr="005E151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18" w:rsidRPr="00691E89" w:rsidRDefault="005E1518" w:rsidP="00691E89">
            <w:pPr>
              <w:rPr>
                <w:color w:val="000000"/>
                <w:sz w:val="20"/>
                <w:szCs w:val="20"/>
              </w:rPr>
            </w:pPr>
            <w:r w:rsidRPr="00691E8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518" w:rsidRDefault="005E1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18" w:rsidRDefault="005E1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336F7B" w:rsidRDefault="00336F7B" w:rsidP="0089548B">
      <w:pPr>
        <w:shd w:val="clear" w:color="auto" w:fill="FFFFFF"/>
        <w:jc w:val="both"/>
        <w:rPr>
          <w:sz w:val="20"/>
          <w:szCs w:val="20"/>
        </w:rPr>
      </w:pPr>
    </w:p>
    <w:p w:rsidR="00243468" w:rsidRPr="0096042C" w:rsidRDefault="00443DE7" w:rsidP="00243468">
      <w:pPr>
        <w:ind w:firstLine="567"/>
        <w:jc w:val="both"/>
      </w:pPr>
      <w:r w:rsidRPr="009208EB">
        <w:rPr>
          <w:b/>
        </w:rPr>
        <w:t>Налоговые</w:t>
      </w:r>
      <w:r w:rsidR="00E50449" w:rsidRPr="009208EB">
        <w:rPr>
          <w:b/>
        </w:rPr>
        <w:t xml:space="preserve"> доходы</w:t>
      </w:r>
      <w:r w:rsidRPr="009208EB">
        <w:t xml:space="preserve"> за </w:t>
      </w:r>
      <w:r w:rsidR="005E1518">
        <w:t>1 полугодие</w:t>
      </w:r>
      <w:r w:rsidRPr="009208EB">
        <w:t xml:space="preserve"> текущего года </w:t>
      </w:r>
      <w:r w:rsidR="00B11EB3" w:rsidRPr="009208EB">
        <w:t>составили</w:t>
      </w:r>
      <w:r w:rsidR="00E50449" w:rsidRPr="009208EB">
        <w:t xml:space="preserve"> </w:t>
      </w:r>
      <w:r w:rsidR="005E1518" w:rsidRPr="005E1518">
        <w:rPr>
          <w:b/>
          <w:bCs/>
          <w:color w:val="000000"/>
        </w:rPr>
        <w:t>176 076,00</w:t>
      </w:r>
      <w:r w:rsidR="005E1518">
        <w:rPr>
          <w:b/>
          <w:bCs/>
          <w:color w:val="000000"/>
        </w:rPr>
        <w:t xml:space="preserve"> </w:t>
      </w:r>
      <w:r w:rsidRPr="009208EB">
        <w:t>тыс. руб.</w:t>
      </w:r>
      <w:r w:rsidR="00B11EB3" w:rsidRPr="009208EB">
        <w:t xml:space="preserve">, их доля в общей сумме поступлений составляет </w:t>
      </w:r>
      <w:r w:rsidR="005E1518">
        <w:t>79,9</w:t>
      </w:r>
      <w:r w:rsidR="00B11EB3" w:rsidRPr="009208EB">
        <w:t>%</w:t>
      </w:r>
      <w:r w:rsidR="00E50449" w:rsidRPr="009208EB">
        <w:t>. В сравнен</w:t>
      </w:r>
      <w:r w:rsidR="00691E89">
        <w:t>ии с анализируемым периодом 2021</w:t>
      </w:r>
      <w:r w:rsidRPr="009208EB">
        <w:t xml:space="preserve"> года </w:t>
      </w:r>
      <w:r w:rsidR="001D310B">
        <w:t>сумма налоговых поступлений увеличилась</w:t>
      </w:r>
      <w:r w:rsidR="005E1518">
        <w:t xml:space="preserve"> на 4335,94 </w:t>
      </w:r>
      <w:r w:rsidR="00E50449" w:rsidRPr="009208EB">
        <w:t xml:space="preserve">тыс. руб., или на </w:t>
      </w:r>
      <w:r w:rsidR="00373D34">
        <w:t>10</w:t>
      </w:r>
      <w:r w:rsidR="005E1518">
        <w:t xml:space="preserve">2,52 </w:t>
      </w:r>
      <w:r w:rsidR="00E50449" w:rsidRPr="009208EB">
        <w:t>%</w:t>
      </w:r>
      <w:r w:rsidR="001D310B">
        <w:t>.</w:t>
      </w:r>
    </w:p>
    <w:p w:rsidR="00243468" w:rsidRDefault="00243468" w:rsidP="00243468">
      <w:pPr>
        <w:ind w:firstLine="567"/>
        <w:jc w:val="both"/>
      </w:pPr>
      <w:r w:rsidRPr="0096042C">
        <w:t xml:space="preserve">Структура налоговых поступлений за </w:t>
      </w:r>
      <w:r w:rsidR="005E1518">
        <w:t>1 полугодие</w:t>
      </w:r>
      <w:r w:rsidR="005E1518" w:rsidRPr="009208EB">
        <w:t xml:space="preserve"> </w:t>
      </w:r>
      <w:r w:rsidR="00691E89">
        <w:t>2022</w:t>
      </w:r>
      <w:r w:rsidRPr="0096042C">
        <w:t xml:space="preserve"> года представлена в диаграмме №1.</w:t>
      </w:r>
    </w:p>
    <w:p w:rsidR="005E1518" w:rsidRDefault="005E1518" w:rsidP="005E1518">
      <w:pPr>
        <w:jc w:val="both"/>
      </w:pPr>
      <w:r>
        <w:rPr>
          <w:noProof/>
        </w:rPr>
        <w:drawing>
          <wp:inline distT="0" distB="0" distL="0" distR="0" wp14:anchorId="00B98A57" wp14:editId="484ED712">
            <wp:extent cx="6015037" cy="1528762"/>
            <wp:effectExtent l="0" t="0" r="2413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1E89" w:rsidRDefault="00691E89" w:rsidP="00243468">
      <w:pPr>
        <w:ind w:firstLine="567"/>
        <w:jc w:val="both"/>
      </w:pPr>
    </w:p>
    <w:p w:rsidR="00336F7B" w:rsidRPr="0096042C" w:rsidRDefault="00E50449" w:rsidP="00336F7B">
      <w:pPr>
        <w:ind w:firstLine="567"/>
        <w:jc w:val="both"/>
      </w:pPr>
      <w:r w:rsidRPr="0096042C">
        <w:t xml:space="preserve">Основным налогом, за счет поступлений которого формируется бюджет района, является налог на доходы физических лиц, его доля в общей сумме </w:t>
      </w:r>
      <w:r w:rsidR="002B5AB1" w:rsidRPr="0096042C">
        <w:t>поступлений</w:t>
      </w:r>
      <w:r w:rsidR="001D310B">
        <w:t xml:space="preserve"> </w:t>
      </w:r>
      <w:r w:rsidR="00CB3AAD">
        <w:t>за</w:t>
      </w:r>
      <w:r w:rsidR="002B5AB1" w:rsidRPr="0096042C">
        <w:t xml:space="preserve"> </w:t>
      </w:r>
      <w:r w:rsidR="005E1518">
        <w:t>1 полугодие</w:t>
      </w:r>
      <w:r w:rsidR="00243468" w:rsidRPr="0096042C">
        <w:t xml:space="preserve"> 202</w:t>
      </w:r>
      <w:r w:rsidR="009C03D9">
        <w:t>2</w:t>
      </w:r>
      <w:r w:rsidR="00243468" w:rsidRPr="0096042C">
        <w:t xml:space="preserve"> год</w:t>
      </w:r>
      <w:r w:rsidR="00CB3AAD">
        <w:t>а</w:t>
      </w:r>
      <w:r w:rsidR="00243468" w:rsidRPr="0096042C">
        <w:t xml:space="preserve"> </w:t>
      </w:r>
      <w:r w:rsidRPr="0096042C">
        <w:t xml:space="preserve">составила </w:t>
      </w:r>
      <w:r w:rsidR="005E1518">
        <w:t>54,0</w:t>
      </w:r>
      <w:r w:rsidRPr="0096042C">
        <w:t>% (</w:t>
      </w:r>
      <w:r w:rsidR="005E1518" w:rsidRPr="005E1518">
        <w:rPr>
          <w:bCs/>
          <w:color w:val="000000"/>
        </w:rPr>
        <w:t>119 075,89</w:t>
      </w:r>
      <w:r w:rsidR="005E1518">
        <w:rPr>
          <w:bCs/>
          <w:color w:val="000000"/>
        </w:rPr>
        <w:t xml:space="preserve"> </w:t>
      </w:r>
      <w:r w:rsidRPr="0096042C">
        <w:t>тыс. рублей).</w:t>
      </w:r>
    </w:p>
    <w:p w:rsidR="00BF5E27" w:rsidRPr="007F646B" w:rsidRDefault="00BF5E27" w:rsidP="00BF5E27">
      <w:pPr>
        <w:ind w:firstLine="567"/>
        <w:jc w:val="both"/>
      </w:pPr>
      <w:proofErr w:type="gramStart"/>
      <w:r w:rsidRPr="007F646B">
        <w:t>В сравнен</w:t>
      </w:r>
      <w:r w:rsidR="009C03D9">
        <w:t>ии с анализируемым периодом 2021</w:t>
      </w:r>
      <w:r w:rsidR="005E1518">
        <w:t xml:space="preserve"> года</w:t>
      </w:r>
      <w:r w:rsidRPr="007F646B">
        <w:t xml:space="preserve"> сумма поступлений по </w:t>
      </w:r>
      <w:r>
        <w:t xml:space="preserve">НДФЛ </w:t>
      </w:r>
      <w:r w:rsidR="00290D4C">
        <w:t>увеличилась</w:t>
      </w:r>
      <w:r>
        <w:t xml:space="preserve"> </w:t>
      </w:r>
      <w:r w:rsidRPr="007F646B">
        <w:t xml:space="preserve">на </w:t>
      </w:r>
      <w:r w:rsidR="005E1518">
        <w:t>4714,02</w:t>
      </w:r>
      <w:r w:rsidR="009C03D9">
        <w:t xml:space="preserve"> </w:t>
      </w:r>
      <w:r w:rsidRPr="007F646B">
        <w:t xml:space="preserve">тыс. руб., или на </w:t>
      </w:r>
      <w:r w:rsidR="005E1518">
        <w:t>104,12</w:t>
      </w:r>
      <w:r w:rsidRPr="007F646B">
        <w:t>%</w:t>
      </w:r>
      <w:r>
        <w:t xml:space="preserve">. </w:t>
      </w:r>
      <w:r w:rsidR="00290D4C">
        <w:t>Изменения обусловлены</w:t>
      </w:r>
      <w:r w:rsidRPr="00592BAD">
        <w:t xml:space="preserve"> </w:t>
      </w:r>
      <w:r w:rsidR="00290D4C" w:rsidRPr="00290D4C">
        <w:t xml:space="preserve">увеличением денежного довольствия военнослужащим </w:t>
      </w:r>
      <w:r w:rsidR="00A019AA">
        <w:t>на 4,3</w:t>
      </w:r>
      <w:r w:rsidR="00290D4C" w:rsidRPr="00290D4C">
        <w:t>%</w:t>
      </w:r>
      <w:r w:rsidR="00A019AA">
        <w:t xml:space="preserve"> с 01.</w:t>
      </w:r>
      <w:r w:rsidR="006B5DC3">
        <w:t>11</w:t>
      </w:r>
      <w:r w:rsidR="00A019AA">
        <w:t>.2021 года</w:t>
      </w:r>
      <w:r w:rsidR="00290D4C" w:rsidRPr="00290D4C">
        <w:t>, увеличением МРОТ с 01.01.202</w:t>
      </w:r>
      <w:r w:rsidR="00A019AA">
        <w:t>2</w:t>
      </w:r>
      <w:r w:rsidR="00290D4C" w:rsidRPr="00290D4C">
        <w:t xml:space="preserve"> на </w:t>
      </w:r>
      <w:r w:rsidR="00A019AA">
        <w:t>8</w:t>
      </w:r>
      <w:r w:rsidR="005E1518">
        <w:t xml:space="preserve">% </w:t>
      </w:r>
      <w:r w:rsidR="006B5DC3">
        <w:t>и</w:t>
      </w:r>
      <w:r w:rsidR="00290D4C" w:rsidRPr="00290D4C">
        <w:t xml:space="preserve"> </w:t>
      </w:r>
      <w:r w:rsidR="006B5DC3">
        <w:t>снижением</w:t>
      </w:r>
      <w:r w:rsidR="00290D4C" w:rsidRPr="00290D4C">
        <w:t xml:space="preserve"> дополнительного норматива отчисления НДФЛ с </w:t>
      </w:r>
      <w:r w:rsidR="006B5DC3">
        <w:t>18,1% в 2021</w:t>
      </w:r>
      <w:r w:rsidR="00290D4C" w:rsidRPr="00290D4C">
        <w:t xml:space="preserve"> году до </w:t>
      </w:r>
      <w:r w:rsidR="006B5DC3">
        <w:t>17,84</w:t>
      </w:r>
      <w:r w:rsidR="00290D4C" w:rsidRPr="00290D4C">
        <w:t>% в 202</w:t>
      </w:r>
      <w:r w:rsidR="006B5DC3">
        <w:t>2</w:t>
      </w:r>
      <w:r w:rsidR="00290D4C" w:rsidRPr="00290D4C">
        <w:t xml:space="preserve"> году.</w:t>
      </w:r>
      <w:proofErr w:type="gramEnd"/>
    </w:p>
    <w:p w:rsidR="00D445F5" w:rsidRPr="00D445F5" w:rsidRDefault="00D445F5" w:rsidP="00D445F5">
      <w:pPr>
        <w:ind w:firstLine="567"/>
        <w:jc w:val="both"/>
      </w:pPr>
      <w:r w:rsidRPr="00D445F5">
        <w:rPr>
          <w:b/>
        </w:rPr>
        <w:t xml:space="preserve">Налог на товары (акцизы </w:t>
      </w:r>
      <w:r w:rsidR="005E1518">
        <w:rPr>
          <w:b/>
        </w:rPr>
        <w:t>–</w:t>
      </w:r>
      <w:r w:rsidRPr="00D445F5">
        <w:rPr>
          <w:b/>
        </w:rPr>
        <w:t xml:space="preserve"> </w:t>
      </w:r>
      <w:r w:rsidR="005E1518">
        <w:rPr>
          <w:b/>
        </w:rPr>
        <w:t>18969,15</w:t>
      </w:r>
      <w:r w:rsidRPr="00D445F5">
        <w:rPr>
          <w:b/>
        </w:rPr>
        <w:t xml:space="preserve"> тыс. рублей</w:t>
      </w:r>
      <w:r w:rsidRPr="00D445F5">
        <w:t xml:space="preserve">) - в общей сумме налоговых поступлений доля акцизов составила </w:t>
      </w:r>
      <w:r w:rsidR="005E1518">
        <w:t>8,6</w:t>
      </w:r>
      <w:r w:rsidRPr="00D445F5">
        <w:t>%. В сравнении с ан</w:t>
      </w:r>
      <w:r w:rsidR="005E1518">
        <w:t xml:space="preserve">ализируемым периодом 2021 года </w:t>
      </w:r>
      <w:r w:rsidRPr="00D445F5">
        <w:t xml:space="preserve">сумма поступлений увеличилась на </w:t>
      </w:r>
      <w:r w:rsidR="005E1518">
        <w:t>4285,16</w:t>
      </w:r>
      <w:r w:rsidRPr="00D445F5">
        <w:t xml:space="preserve"> тыс. руб., или на </w:t>
      </w:r>
      <w:r w:rsidR="005E1518">
        <w:t>129,18</w:t>
      </w:r>
      <w:r w:rsidRPr="00D445F5">
        <w:t xml:space="preserve">%. Объем акцизов рассчитывается исходя из прогноза поступлений главного администратора доходов - Управления Федерального Казначейства по Астраханской области. </w:t>
      </w:r>
    </w:p>
    <w:p w:rsidR="00BF5E27" w:rsidRPr="00C6610B" w:rsidRDefault="00BF5E27" w:rsidP="00BF5E27">
      <w:pPr>
        <w:ind w:firstLine="567"/>
        <w:jc w:val="both"/>
      </w:pPr>
      <w:proofErr w:type="gramStart"/>
      <w:r w:rsidRPr="00592BAD">
        <w:rPr>
          <w:b/>
        </w:rPr>
        <w:t>Налог на совокупный доход</w:t>
      </w:r>
      <w:r>
        <w:rPr>
          <w:b/>
        </w:rPr>
        <w:t xml:space="preserve"> (</w:t>
      </w:r>
      <w:r w:rsidR="005E1518">
        <w:rPr>
          <w:b/>
        </w:rPr>
        <w:t>31146,26</w:t>
      </w:r>
      <w:r w:rsidR="00D445F5">
        <w:rPr>
          <w:b/>
        </w:rPr>
        <w:t xml:space="preserve"> </w:t>
      </w:r>
      <w:r>
        <w:rPr>
          <w:b/>
        </w:rPr>
        <w:t>тыс. рублей) -</w:t>
      </w:r>
      <w:r w:rsidRPr="00592BAD">
        <w:t xml:space="preserve"> </w:t>
      </w:r>
      <w:r w:rsidRPr="007F646B">
        <w:t xml:space="preserve">в общей сумме </w:t>
      </w:r>
      <w:r w:rsidRPr="00033D7D">
        <w:rPr>
          <w:b/>
        </w:rPr>
        <w:t>налоговых</w:t>
      </w:r>
      <w:r>
        <w:t xml:space="preserve"> </w:t>
      </w:r>
      <w:r w:rsidRPr="007F646B">
        <w:t xml:space="preserve">поступлений </w:t>
      </w:r>
      <w:r>
        <w:t xml:space="preserve">доля совокупного дохода составила </w:t>
      </w:r>
      <w:r w:rsidR="005E1518">
        <w:t>14,1%.</w:t>
      </w:r>
      <w:r>
        <w:t xml:space="preserve"> </w:t>
      </w:r>
      <w:r w:rsidRPr="007F646B">
        <w:t>В сравнен</w:t>
      </w:r>
      <w:r w:rsidR="006B5DC3">
        <w:t xml:space="preserve">ии с анализируемым периодом 2021 года </w:t>
      </w:r>
      <w:r w:rsidRPr="007F646B">
        <w:t xml:space="preserve">сумма поступлений </w:t>
      </w:r>
      <w:r w:rsidR="00475872" w:rsidRPr="004112E8">
        <w:rPr>
          <w:b/>
        </w:rPr>
        <w:t>уменьшилась</w:t>
      </w:r>
      <w:r>
        <w:t xml:space="preserve"> </w:t>
      </w:r>
      <w:r w:rsidRPr="007F646B">
        <w:t xml:space="preserve">на </w:t>
      </w:r>
      <w:r w:rsidR="005E1518">
        <w:t>6923,0</w:t>
      </w:r>
      <w:r w:rsidR="006B5DC3">
        <w:t xml:space="preserve"> </w:t>
      </w:r>
      <w:r w:rsidRPr="007F646B">
        <w:t xml:space="preserve">тыс. руб., или на </w:t>
      </w:r>
      <w:r w:rsidR="000049AB">
        <w:t>37,19</w:t>
      </w:r>
      <w:r w:rsidRPr="00C6610B">
        <w:t xml:space="preserve">%. </w:t>
      </w:r>
      <w:r w:rsidR="00A024FC" w:rsidRPr="00C6610B">
        <w:t>Изменения обусловлены,</w:t>
      </w:r>
      <w:r w:rsidRPr="00C6610B">
        <w:t xml:space="preserve"> </w:t>
      </w:r>
      <w:r w:rsidR="00475872">
        <w:t xml:space="preserve">снижением </w:t>
      </w:r>
      <w:r w:rsidR="00FE4483" w:rsidRPr="00C6610B">
        <w:t>поступлений</w:t>
      </w:r>
      <w:r w:rsidR="000049AB">
        <w:t xml:space="preserve"> по </w:t>
      </w:r>
      <w:r w:rsidR="000049AB" w:rsidRPr="00931252">
        <w:t xml:space="preserve">налогу </w:t>
      </w:r>
      <w:r w:rsidR="00475872" w:rsidRPr="00931252">
        <w:t>ЕНВД в связи с</w:t>
      </w:r>
      <w:r w:rsidR="000049AB" w:rsidRPr="00931252">
        <w:t xml:space="preserve"> его</w:t>
      </w:r>
      <w:r w:rsidR="00475872" w:rsidRPr="00931252">
        <w:t xml:space="preserve"> отменой, </w:t>
      </w:r>
      <w:r w:rsidR="00931252" w:rsidRPr="00931252">
        <w:t>и</w:t>
      </w:r>
      <w:r w:rsidR="00475872" w:rsidRPr="00931252">
        <w:t xml:space="preserve"> налогу ЕСХН на </w:t>
      </w:r>
      <w:r w:rsidR="00931252" w:rsidRPr="00931252">
        <w:t>38,16%,</w:t>
      </w:r>
      <w:r w:rsidR="00475872" w:rsidRPr="00931252">
        <w:t xml:space="preserve"> увеличением поступлений по патентному налогообложению на </w:t>
      </w:r>
      <w:r w:rsidR="00931252" w:rsidRPr="00931252">
        <w:t>111,82</w:t>
      </w:r>
      <w:r w:rsidR="00475872" w:rsidRPr="00931252">
        <w:t>%</w:t>
      </w:r>
      <w:r w:rsidR="00931252" w:rsidRPr="00931252">
        <w:t xml:space="preserve"> и налогу</w:t>
      </w:r>
      <w:proofErr w:type="gramEnd"/>
      <w:r w:rsidR="00931252" w:rsidRPr="00931252">
        <w:t xml:space="preserve"> </w:t>
      </w:r>
      <w:proofErr w:type="gramStart"/>
      <w:r w:rsidR="00931252" w:rsidRPr="00931252">
        <w:t>взимаемому</w:t>
      </w:r>
      <w:proofErr w:type="gramEnd"/>
      <w:r w:rsidR="00931252" w:rsidRPr="00931252">
        <w:t xml:space="preserve"> в связи с применением упрощенной системы налогообложения на 109,34%</w:t>
      </w:r>
      <w:r w:rsidRPr="00931252">
        <w:t>. Изменение поступлений по видам налогов представлено в таблице №3.</w:t>
      </w:r>
    </w:p>
    <w:p w:rsidR="00BF5E27" w:rsidRDefault="00BF5E27" w:rsidP="00BF5E27">
      <w:pPr>
        <w:ind w:firstLine="567"/>
        <w:jc w:val="right"/>
      </w:pPr>
      <w:r>
        <w:t>Таблица №3</w:t>
      </w:r>
      <w:r w:rsidR="00D00AFB">
        <w:t xml:space="preserve"> (</w:t>
      </w:r>
      <w:r w:rsidRPr="007F646B">
        <w:t>тыс.</w:t>
      </w:r>
      <w:r w:rsidR="00D00AFB">
        <w:t xml:space="preserve"> </w:t>
      </w:r>
      <w:r w:rsidRPr="007F646B">
        <w:t>руб.)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296"/>
        <w:gridCol w:w="1446"/>
        <w:gridCol w:w="1256"/>
        <w:gridCol w:w="1177"/>
        <w:gridCol w:w="1336"/>
      </w:tblGrid>
      <w:tr w:rsidR="006D53DF" w:rsidRPr="001D310B" w:rsidTr="006D53DF">
        <w:trPr>
          <w:trHeight w:val="920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1D310B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Исполнение бюджета на 01.</w:t>
            </w:r>
            <w:r w:rsidR="00931252">
              <w:rPr>
                <w:color w:val="000000"/>
                <w:sz w:val="20"/>
                <w:szCs w:val="20"/>
              </w:rPr>
              <w:t>07</w:t>
            </w:r>
            <w:r w:rsidRPr="001D310B">
              <w:rPr>
                <w:color w:val="000000"/>
                <w:sz w:val="20"/>
                <w:szCs w:val="20"/>
              </w:rPr>
              <w:t>.2021г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1D310B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Уточненный прогноз на 2022 год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931252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Исполнение на 01.0</w:t>
            </w:r>
            <w:r w:rsidR="00931252">
              <w:rPr>
                <w:color w:val="000000"/>
                <w:sz w:val="20"/>
                <w:szCs w:val="20"/>
              </w:rPr>
              <w:t>7</w:t>
            </w:r>
            <w:r w:rsidRPr="001D310B">
              <w:rPr>
                <w:color w:val="000000"/>
                <w:sz w:val="20"/>
                <w:szCs w:val="20"/>
              </w:rPr>
              <w:t>.2022г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6D53DF" w:rsidRPr="001D310B" w:rsidRDefault="006D53DF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Изменение</w:t>
            </w:r>
          </w:p>
          <w:p w:rsidR="006D53DF" w:rsidRPr="001D310B" w:rsidRDefault="006D53DF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 xml:space="preserve"> (ст.4-ст2)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D53DF" w:rsidRPr="001D310B" w:rsidRDefault="006D53DF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Темпы роста 2022 к 2021 (%) гр.4/гр.2*100</w:t>
            </w:r>
          </w:p>
        </w:tc>
      </w:tr>
      <w:tr w:rsidR="001D310B" w:rsidRPr="001D310B" w:rsidTr="006D53DF">
        <w:trPr>
          <w:trHeight w:val="100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1D310B" w:rsidRPr="001D310B" w:rsidRDefault="001D310B" w:rsidP="001D310B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D310B" w:rsidRPr="001D310B" w:rsidRDefault="001D310B" w:rsidP="001D3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3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49AB" w:rsidRPr="001D310B" w:rsidTr="006D53DF">
        <w:trPr>
          <w:trHeight w:val="510"/>
        </w:trPr>
        <w:tc>
          <w:tcPr>
            <w:tcW w:w="2967" w:type="dxa"/>
            <w:shd w:val="clear" w:color="auto" w:fill="auto"/>
            <w:vAlign w:val="center"/>
            <w:hideMark/>
          </w:tcPr>
          <w:p w:rsidR="000049AB" w:rsidRPr="001D310B" w:rsidRDefault="000049A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20 618,89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37 310,00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22 545,25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1 926,36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109,34</w:t>
            </w:r>
          </w:p>
        </w:tc>
      </w:tr>
      <w:tr w:rsidR="000049AB" w:rsidRPr="001D310B" w:rsidTr="006D53DF">
        <w:trPr>
          <w:trHeight w:val="510"/>
        </w:trPr>
        <w:tc>
          <w:tcPr>
            <w:tcW w:w="2967" w:type="dxa"/>
            <w:shd w:val="clear" w:color="auto" w:fill="auto"/>
            <w:vAlign w:val="center"/>
            <w:hideMark/>
          </w:tcPr>
          <w:p w:rsidR="000049AB" w:rsidRPr="001D310B" w:rsidRDefault="000049A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8 533,21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-158,59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-8 691,80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0049AB" w:rsidRPr="001D310B" w:rsidTr="006D53DF">
        <w:trPr>
          <w:trHeight w:val="300"/>
        </w:trPr>
        <w:tc>
          <w:tcPr>
            <w:tcW w:w="2967" w:type="dxa"/>
            <w:shd w:val="clear" w:color="auto" w:fill="auto"/>
            <w:vAlign w:val="center"/>
            <w:hideMark/>
          </w:tcPr>
          <w:p w:rsidR="000049AB" w:rsidRPr="001D310B" w:rsidRDefault="000049A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2 423,52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1 498,66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-924,86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61,84</w:t>
            </w:r>
          </w:p>
        </w:tc>
      </w:tr>
      <w:tr w:rsidR="000049AB" w:rsidRPr="001D310B" w:rsidTr="006D53DF">
        <w:trPr>
          <w:trHeight w:val="510"/>
        </w:trPr>
        <w:tc>
          <w:tcPr>
            <w:tcW w:w="2967" w:type="dxa"/>
            <w:shd w:val="clear" w:color="auto" w:fill="auto"/>
            <w:vAlign w:val="center"/>
            <w:hideMark/>
          </w:tcPr>
          <w:p w:rsidR="000049AB" w:rsidRPr="001D310B" w:rsidRDefault="000049A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6 493,63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10 553,00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7 260,95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767,31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111,82</w:t>
            </w:r>
          </w:p>
        </w:tc>
      </w:tr>
      <w:tr w:rsidR="000049AB" w:rsidRPr="001D310B" w:rsidTr="006D53DF">
        <w:trPr>
          <w:trHeight w:val="300"/>
        </w:trPr>
        <w:tc>
          <w:tcPr>
            <w:tcW w:w="2967" w:type="dxa"/>
            <w:shd w:val="clear" w:color="auto" w:fill="auto"/>
            <w:vAlign w:val="center"/>
            <w:hideMark/>
          </w:tcPr>
          <w:p w:rsidR="000049AB" w:rsidRPr="001D310B" w:rsidRDefault="000049AB" w:rsidP="001D310B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38 069,26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50 413,00</w:t>
            </w:r>
          </w:p>
        </w:tc>
        <w:tc>
          <w:tcPr>
            <w:tcW w:w="1256" w:type="dxa"/>
            <w:shd w:val="clear" w:color="000000" w:fill="FFFFFF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31 146,26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-6 923,00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049AB" w:rsidRDefault="0000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81,81</w:t>
            </w:r>
          </w:p>
        </w:tc>
      </w:tr>
    </w:tbl>
    <w:p w:rsidR="001D310B" w:rsidRDefault="001D310B" w:rsidP="00BF5E27">
      <w:pPr>
        <w:ind w:firstLine="567"/>
        <w:jc w:val="both"/>
        <w:rPr>
          <w:b/>
          <w:highlight w:val="yellow"/>
        </w:rPr>
      </w:pPr>
    </w:p>
    <w:p w:rsidR="006D53DF" w:rsidRDefault="00BF5E27" w:rsidP="00BF5E27">
      <w:pPr>
        <w:ind w:firstLine="567"/>
        <w:jc w:val="both"/>
      </w:pPr>
      <w:r w:rsidRPr="00465EC3">
        <w:rPr>
          <w:b/>
        </w:rPr>
        <w:t>Госпошлина (</w:t>
      </w:r>
      <w:r w:rsidR="00931252">
        <w:rPr>
          <w:b/>
        </w:rPr>
        <w:t>6884,52</w:t>
      </w:r>
      <w:r w:rsidR="00D34DE9" w:rsidRPr="00465EC3">
        <w:rPr>
          <w:b/>
        </w:rPr>
        <w:t xml:space="preserve"> </w:t>
      </w:r>
      <w:r w:rsidRPr="00465EC3">
        <w:rPr>
          <w:b/>
        </w:rPr>
        <w:t>тыс. рублей) -</w:t>
      </w:r>
      <w:r w:rsidRPr="00465EC3">
        <w:t xml:space="preserve"> в общей сумме </w:t>
      </w:r>
      <w:r w:rsidRPr="00465EC3">
        <w:rPr>
          <w:b/>
        </w:rPr>
        <w:t>налоговых</w:t>
      </w:r>
      <w:r w:rsidRPr="00465EC3">
        <w:t xml:space="preserve"> поступлений доля госпошлины составила </w:t>
      </w:r>
      <w:r w:rsidR="00931252">
        <w:t>3,1</w:t>
      </w:r>
      <w:r w:rsidR="00D34DE9" w:rsidRPr="00465EC3">
        <w:t xml:space="preserve">%. </w:t>
      </w:r>
      <w:r w:rsidRPr="00465EC3">
        <w:t>В сравнен</w:t>
      </w:r>
      <w:r w:rsidR="00C6610B" w:rsidRPr="00465EC3">
        <w:t>ии с анализируемым период</w:t>
      </w:r>
      <w:r w:rsidR="00D34DE9" w:rsidRPr="00465EC3">
        <w:t>ом 2021</w:t>
      </w:r>
      <w:r w:rsidRPr="00465EC3">
        <w:t xml:space="preserve"> года</w:t>
      </w:r>
      <w:r w:rsidR="00D34DE9" w:rsidRPr="00465EC3">
        <w:t xml:space="preserve"> </w:t>
      </w:r>
      <w:r w:rsidRPr="00465EC3">
        <w:t xml:space="preserve">сумма поступлений </w:t>
      </w:r>
      <w:r w:rsidR="00D34DE9" w:rsidRPr="00465EC3">
        <w:t xml:space="preserve">увеличилась </w:t>
      </w:r>
      <w:r w:rsidRPr="00465EC3">
        <w:t xml:space="preserve">на </w:t>
      </w:r>
      <w:r w:rsidR="00931252">
        <w:t>2259,67</w:t>
      </w:r>
      <w:r w:rsidRPr="00465EC3">
        <w:t xml:space="preserve"> тыс. руб., или на</w:t>
      </w:r>
      <w:r w:rsidR="00C6610B" w:rsidRPr="00465EC3">
        <w:t xml:space="preserve"> </w:t>
      </w:r>
      <w:r w:rsidR="00931252">
        <w:t>148,86</w:t>
      </w:r>
      <w:r w:rsidR="00465EC3">
        <w:t>%</w:t>
      </w:r>
      <w:r w:rsidR="006D53DF">
        <w:t>:</w:t>
      </w:r>
    </w:p>
    <w:p w:rsidR="00BB58E5" w:rsidRDefault="006D53DF" w:rsidP="00BB58E5">
      <w:r w:rsidRPr="00C6610B">
        <w:t xml:space="preserve">Изменение поступлений по видам </w:t>
      </w:r>
      <w:r>
        <w:t>госпошлин представлено в таблице №4</w:t>
      </w:r>
      <w:r w:rsidRPr="00C6610B">
        <w:t>.</w:t>
      </w:r>
    </w:p>
    <w:p w:rsidR="00BB58E5" w:rsidRDefault="00BB58E5" w:rsidP="00BB58E5">
      <w:pPr>
        <w:ind w:firstLine="567"/>
        <w:jc w:val="right"/>
      </w:pPr>
      <w:r w:rsidRPr="00BB58E5">
        <w:t xml:space="preserve"> </w:t>
      </w:r>
      <w:r>
        <w:t>Таблица №4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296"/>
        <w:gridCol w:w="1446"/>
        <w:gridCol w:w="1256"/>
        <w:gridCol w:w="1177"/>
        <w:gridCol w:w="1336"/>
      </w:tblGrid>
      <w:tr w:rsidR="006D53DF" w:rsidRPr="00BB58E5" w:rsidTr="007848B1">
        <w:trPr>
          <w:trHeight w:val="920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D53DF" w:rsidRPr="001D310B" w:rsidRDefault="00931252" w:rsidP="007848B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бюджета на 01.07</w:t>
            </w:r>
            <w:r w:rsidR="006D53DF" w:rsidRPr="001D310B">
              <w:rPr>
                <w:color w:val="000000"/>
                <w:sz w:val="20"/>
                <w:szCs w:val="20"/>
              </w:rPr>
              <w:t>.2021г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both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Уточненный прогноз на 2022 год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D53DF" w:rsidRPr="001D310B" w:rsidRDefault="00931252" w:rsidP="007848B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на 01.07</w:t>
            </w:r>
            <w:r w:rsidR="006D53DF" w:rsidRPr="001D310B">
              <w:rPr>
                <w:color w:val="000000"/>
                <w:sz w:val="20"/>
                <w:szCs w:val="20"/>
              </w:rPr>
              <w:t>.2022г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6D53DF" w:rsidRPr="00BB58E5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Изменение</w:t>
            </w:r>
          </w:p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 xml:space="preserve"> (ст.4-ст2)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Темпы роста 2022 к 2021 (%) гр.4/гр.2*100</w:t>
            </w:r>
          </w:p>
        </w:tc>
      </w:tr>
      <w:tr w:rsidR="006D53DF" w:rsidRPr="00BB58E5" w:rsidTr="007848B1">
        <w:trPr>
          <w:trHeight w:val="100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6D53DF" w:rsidRPr="001D310B" w:rsidRDefault="006D53DF" w:rsidP="007848B1">
            <w:pPr>
              <w:jc w:val="center"/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3DF" w:rsidRPr="001D310B" w:rsidRDefault="006D53DF" w:rsidP="007848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D31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31252" w:rsidRPr="00BB58E5" w:rsidTr="007848B1">
        <w:trPr>
          <w:trHeight w:val="510"/>
        </w:trPr>
        <w:tc>
          <w:tcPr>
            <w:tcW w:w="2967" w:type="dxa"/>
            <w:shd w:val="clear" w:color="auto" w:fill="auto"/>
            <w:vAlign w:val="center"/>
          </w:tcPr>
          <w:p w:rsidR="00931252" w:rsidRPr="001D310B" w:rsidRDefault="00931252" w:rsidP="007848B1">
            <w:pPr>
              <w:rPr>
                <w:color w:val="000000"/>
                <w:sz w:val="20"/>
                <w:szCs w:val="20"/>
              </w:rPr>
            </w:pPr>
            <w:r w:rsidRPr="00BB58E5">
              <w:rPr>
                <w:sz w:val="20"/>
                <w:szCs w:val="20"/>
              </w:rPr>
              <w:t>Госпошлина по делам, рассматриваемым в судах общей юрисдикции и мировыми судьями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4 600,85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6 879,52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2 278,67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149,53</w:t>
            </w:r>
          </w:p>
        </w:tc>
      </w:tr>
      <w:tr w:rsidR="00931252" w:rsidRPr="00BB58E5" w:rsidTr="007848B1">
        <w:trPr>
          <w:trHeight w:val="510"/>
        </w:trPr>
        <w:tc>
          <w:tcPr>
            <w:tcW w:w="2967" w:type="dxa"/>
            <w:shd w:val="clear" w:color="auto" w:fill="auto"/>
            <w:vAlign w:val="center"/>
          </w:tcPr>
          <w:p w:rsidR="00931252" w:rsidRPr="001D310B" w:rsidRDefault="00931252" w:rsidP="007848B1">
            <w:pPr>
              <w:rPr>
                <w:color w:val="000000"/>
                <w:sz w:val="20"/>
                <w:szCs w:val="20"/>
              </w:rPr>
            </w:pPr>
            <w:r w:rsidRPr="00BB58E5">
              <w:rPr>
                <w:sz w:val="20"/>
                <w:szCs w:val="20"/>
              </w:rPr>
              <w:t>Государственная пошлина за выдачу разрешений на установку рекламных конструкций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-19,00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20,83</w:t>
            </w:r>
          </w:p>
        </w:tc>
      </w:tr>
      <w:tr w:rsidR="00931252" w:rsidRPr="00BB58E5" w:rsidTr="007848B1">
        <w:trPr>
          <w:trHeight w:val="300"/>
        </w:trPr>
        <w:tc>
          <w:tcPr>
            <w:tcW w:w="2967" w:type="dxa"/>
            <w:shd w:val="clear" w:color="auto" w:fill="auto"/>
            <w:vAlign w:val="center"/>
            <w:hideMark/>
          </w:tcPr>
          <w:p w:rsidR="00931252" w:rsidRPr="001D310B" w:rsidRDefault="00931252" w:rsidP="007848B1">
            <w:pPr>
              <w:rPr>
                <w:color w:val="000000"/>
                <w:sz w:val="20"/>
                <w:szCs w:val="20"/>
              </w:rPr>
            </w:pPr>
            <w:r w:rsidRPr="001D310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4 624,85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10 015,00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6 884,52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2 259,67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931252" w:rsidRDefault="00931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148,86</w:t>
            </w:r>
          </w:p>
        </w:tc>
      </w:tr>
    </w:tbl>
    <w:p w:rsidR="006D53DF" w:rsidRDefault="006D53DF" w:rsidP="006D53DF">
      <w:pPr>
        <w:ind w:firstLine="567"/>
        <w:jc w:val="right"/>
      </w:pPr>
    </w:p>
    <w:p w:rsidR="00465EC3" w:rsidRDefault="00465EC3" w:rsidP="00BF5E27">
      <w:pPr>
        <w:ind w:firstLine="567"/>
        <w:jc w:val="both"/>
      </w:pPr>
      <w:r w:rsidRPr="00465EC3">
        <w:rPr>
          <w:b/>
        </w:rPr>
        <w:t>Целевы</w:t>
      </w:r>
      <w:r>
        <w:rPr>
          <w:b/>
        </w:rPr>
        <w:t>е сборы с граждан и предприятий</w:t>
      </w:r>
      <w:r w:rsidRPr="00465EC3">
        <w:rPr>
          <w:b/>
        </w:rPr>
        <w:t>, учреждений, организаций на содержание милиции, на благоустройство территорий, на нужды образования и другие цел</w:t>
      </w:r>
      <w:r>
        <w:t>и (0,17255 тыс. рублей) в 2021 году данные поступления в бюджете отсутствовали.</w:t>
      </w:r>
    </w:p>
    <w:p w:rsidR="00BB58E5" w:rsidRDefault="00BB58E5" w:rsidP="00BF5E27">
      <w:pPr>
        <w:ind w:firstLine="567"/>
        <w:jc w:val="both"/>
      </w:pPr>
    </w:p>
    <w:p w:rsidR="0095413D" w:rsidRPr="00496C4B" w:rsidRDefault="00243468" w:rsidP="0095413D">
      <w:pPr>
        <w:ind w:firstLine="567"/>
        <w:jc w:val="both"/>
      </w:pPr>
      <w:r w:rsidRPr="00496C4B">
        <w:rPr>
          <w:b/>
        </w:rPr>
        <w:t xml:space="preserve">Неналоговые </w:t>
      </w:r>
      <w:r w:rsidR="0095413D" w:rsidRPr="00496C4B">
        <w:rPr>
          <w:b/>
        </w:rPr>
        <w:t>доходы</w:t>
      </w:r>
      <w:r w:rsidRPr="00496C4B">
        <w:t xml:space="preserve"> </w:t>
      </w:r>
      <w:r w:rsidR="009208EB" w:rsidRPr="00496C4B">
        <w:t xml:space="preserve">за </w:t>
      </w:r>
      <w:r w:rsidR="00931252">
        <w:t>1 полугодие</w:t>
      </w:r>
      <w:r w:rsidR="00BB58E5" w:rsidRPr="00496C4B">
        <w:t xml:space="preserve"> 2022</w:t>
      </w:r>
      <w:r w:rsidR="009208EB" w:rsidRPr="00496C4B">
        <w:t xml:space="preserve"> года </w:t>
      </w:r>
      <w:r w:rsidR="00B11EB3" w:rsidRPr="00496C4B">
        <w:t>составили</w:t>
      </w:r>
      <w:r w:rsidR="0095413D" w:rsidRPr="00496C4B">
        <w:t xml:space="preserve"> </w:t>
      </w:r>
      <w:r w:rsidR="00624A0F">
        <w:rPr>
          <w:bCs/>
          <w:color w:val="000000"/>
        </w:rPr>
        <w:t>44312,06</w:t>
      </w:r>
      <w:r w:rsidR="007F01B3" w:rsidRPr="00496C4B">
        <w:rPr>
          <w:bCs/>
          <w:color w:val="000000"/>
        </w:rPr>
        <w:t xml:space="preserve"> </w:t>
      </w:r>
      <w:r w:rsidR="0095413D" w:rsidRPr="00496C4B">
        <w:t>тыс. руб.</w:t>
      </w:r>
      <w:r w:rsidR="00B11EB3" w:rsidRPr="00496C4B">
        <w:t xml:space="preserve">, их доля в общей сумме поступлений составляет </w:t>
      </w:r>
      <w:r w:rsidR="00624A0F">
        <w:t>20,1</w:t>
      </w:r>
      <w:r w:rsidR="00B11EB3" w:rsidRPr="00496C4B">
        <w:t>%.</w:t>
      </w:r>
      <w:r w:rsidR="007848B1" w:rsidRPr="00496C4B">
        <w:t xml:space="preserve"> </w:t>
      </w:r>
      <w:r w:rsidR="0095413D" w:rsidRPr="00496C4B">
        <w:t>В сравнен</w:t>
      </w:r>
      <w:r w:rsidRPr="00496C4B">
        <w:t>ии с анализируемым периодом 202</w:t>
      </w:r>
      <w:r w:rsidR="007848B1" w:rsidRPr="00496C4B">
        <w:t>1</w:t>
      </w:r>
      <w:r w:rsidR="0095413D" w:rsidRPr="00496C4B">
        <w:t xml:space="preserve"> года</w:t>
      </w:r>
      <w:r w:rsidRPr="00496C4B">
        <w:t xml:space="preserve"> </w:t>
      </w:r>
      <w:r w:rsidR="0095413D" w:rsidRPr="00496C4B">
        <w:t xml:space="preserve">сумма поступлений по неналоговым доходам </w:t>
      </w:r>
      <w:r w:rsidR="007848B1" w:rsidRPr="00496C4B">
        <w:t>увеличилась</w:t>
      </w:r>
      <w:r w:rsidR="0095413D" w:rsidRPr="00496C4B">
        <w:t xml:space="preserve"> на </w:t>
      </w:r>
      <w:r w:rsidR="00624A0F">
        <w:t>28881,86</w:t>
      </w:r>
      <w:r w:rsidR="0095413D" w:rsidRPr="00496C4B">
        <w:t xml:space="preserve"> тыс. руб., или на </w:t>
      </w:r>
      <w:r w:rsidR="00624A0F">
        <w:t>287,18</w:t>
      </w:r>
      <w:r w:rsidR="0095413D" w:rsidRPr="00496C4B">
        <w:t>% к</w:t>
      </w:r>
      <w:r w:rsidRPr="00496C4B">
        <w:t xml:space="preserve"> </w:t>
      </w:r>
      <w:r w:rsidR="0095413D" w:rsidRPr="00496C4B">
        <w:t xml:space="preserve">общей сумме поступивших неналоговых доходов </w:t>
      </w:r>
      <w:r w:rsidR="009208EB" w:rsidRPr="00496C4B">
        <w:t xml:space="preserve">за </w:t>
      </w:r>
      <w:r w:rsidR="00624A0F">
        <w:t>1 полугодие</w:t>
      </w:r>
      <w:r w:rsidR="007848B1" w:rsidRPr="00496C4B">
        <w:t xml:space="preserve"> 2021</w:t>
      </w:r>
      <w:r w:rsidR="00624A0F">
        <w:t xml:space="preserve"> </w:t>
      </w:r>
      <w:r w:rsidR="0095413D" w:rsidRPr="00496C4B">
        <w:t>года.</w:t>
      </w:r>
    </w:p>
    <w:p w:rsidR="0095413D" w:rsidRDefault="0095413D" w:rsidP="0095413D">
      <w:pPr>
        <w:ind w:firstLine="567"/>
        <w:jc w:val="both"/>
      </w:pPr>
      <w:r w:rsidRPr="00496C4B">
        <w:t>Структура ненал</w:t>
      </w:r>
      <w:r w:rsidR="008E0BF4" w:rsidRPr="00496C4B">
        <w:t xml:space="preserve">оговых поступлений </w:t>
      </w:r>
      <w:r w:rsidR="009208EB" w:rsidRPr="00496C4B">
        <w:t xml:space="preserve">за </w:t>
      </w:r>
      <w:r w:rsidR="00624A0F">
        <w:t>1 полугодие</w:t>
      </w:r>
      <w:r w:rsidR="00624A0F" w:rsidRPr="00496C4B">
        <w:t xml:space="preserve"> </w:t>
      </w:r>
      <w:r w:rsidR="007848B1" w:rsidRPr="00496C4B">
        <w:t>2022</w:t>
      </w:r>
      <w:r w:rsidR="009208EB" w:rsidRPr="00496C4B">
        <w:t xml:space="preserve"> </w:t>
      </w:r>
      <w:r w:rsidRPr="00496C4B">
        <w:t>года представлена в диаграмме №2.</w:t>
      </w:r>
    </w:p>
    <w:p w:rsidR="007848B1" w:rsidRDefault="007848B1" w:rsidP="0095413D">
      <w:pPr>
        <w:ind w:firstLine="567"/>
        <w:jc w:val="both"/>
      </w:pPr>
    </w:p>
    <w:p w:rsidR="007848B1" w:rsidRDefault="00624A0F" w:rsidP="00624A0F">
      <w:pPr>
        <w:jc w:val="both"/>
      </w:pPr>
      <w:r>
        <w:rPr>
          <w:noProof/>
        </w:rPr>
        <w:lastRenderedPageBreak/>
        <w:drawing>
          <wp:inline distT="0" distB="0" distL="0" distR="0" wp14:anchorId="6D4E4D55" wp14:editId="5821A884">
            <wp:extent cx="5838825" cy="25431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08EB" w:rsidRPr="0096042C" w:rsidRDefault="009208EB" w:rsidP="009208EB">
      <w:pPr>
        <w:jc w:val="both"/>
      </w:pPr>
    </w:p>
    <w:p w:rsidR="002B5AB1" w:rsidRPr="002D670E" w:rsidRDefault="002B5AB1" w:rsidP="00336F7B">
      <w:pPr>
        <w:ind w:firstLine="567"/>
        <w:jc w:val="both"/>
        <w:rPr>
          <w:color w:val="000000"/>
        </w:rPr>
      </w:pPr>
      <w:r w:rsidRPr="002D670E">
        <w:t>Основными видами неналоговых</w:t>
      </w:r>
      <w:r w:rsidR="00243468" w:rsidRPr="002D670E">
        <w:t xml:space="preserve"> </w:t>
      </w:r>
      <w:r w:rsidRPr="002D670E">
        <w:t>поступлений</w:t>
      </w:r>
      <w:r w:rsidR="00057892" w:rsidRPr="002D670E">
        <w:t>,</w:t>
      </w:r>
      <w:r w:rsidRPr="002D670E">
        <w:t xml:space="preserve"> за счет которых формируется бюджет района</w:t>
      </w:r>
      <w:r w:rsidR="00B11EB3" w:rsidRPr="002D670E">
        <w:t>,</w:t>
      </w:r>
      <w:r w:rsidR="00243468" w:rsidRPr="002D670E">
        <w:t xml:space="preserve"> </w:t>
      </w:r>
      <w:r w:rsidRPr="002D670E">
        <w:t xml:space="preserve">являются – доходы от </w:t>
      </w:r>
      <w:r w:rsidR="007848B1" w:rsidRPr="002D670E">
        <w:t xml:space="preserve">оказания платных услуг </w:t>
      </w:r>
      <w:r w:rsidR="00D832EE">
        <w:t>22246,37</w:t>
      </w:r>
      <w:r w:rsidR="007848B1" w:rsidRPr="002D670E">
        <w:t xml:space="preserve"> тыс. рублей </w:t>
      </w:r>
      <w:r w:rsidR="00B11EB3" w:rsidRPr="002D670E">
        <w:rPr>
          <w:color w:val="000000"/>
        </w:rPr>
        <w:t xml:space="preserve">(доля в общей сумме доходов </w:t>
      </w:r>
      <w:r w:rsidR="00D832EE">
        <w:rPr>
          <w:color w:val="000000"/>
        </w:rPr>
        <w:t>10,1</w:t>
      </w:r>
      <w:r w:rsidR="007848B1" w:rsidRPr="002D670E">
        <w:rPr>
          <w:color w:val="000000"/>
        </w:rPr>
        <w:t>%)</w:t>
      </w:r>
      <w:r w:rsidR="00B11EB3" w:rsidRPr="002D670E">
        <w:rPr>
          <w:color w:val="000000"/>
        </w:rPr>
        <w:t>,</w:t>
      </w:r>
      <w:r w:rsidR="007848B1" w:rsidRPr="002D670E">
        <w:rPr>
          <w:color w:val="000000"/>
        </w:rPr>
        <w:t xml:space="preserve"> доходы от использования имущества </w:t>
      </w:r>
      <w:r w:rsidR="00D832EE">
        <w:rPr>
          <w:color w:val="000000"/>
        </w:rPr>
        <w:t>10708,64</w:t>
      </w:r>
      <w:r w:rsidR="007848B1" w:rsidRPr="002D670E">
        <w:rPr>
          <w:color w:val="000000"/>
        </w:rPr>
        <w:t xml:space="preserve"> тыс. рублей</w:t>
      </w:r>
      <w:r w:rsidR="00D832EE">
        <w:rPr>
          <w:color w:val="000000"/>
        </w:rPr>
        <w:t xml:space="preserve"> (доля в общей сумме доходов 4,9</w:t>
      </w:r>
      <w:r w:rsidR="007848B1" w:rsidRPr="002D670E">
        <w:rPr>
          <w:color w:val="000000"/>
        </w:rPr>
        <w:t>%),</w:t>
      </w:r>
      <w:r w:rsidR="00B11EB3" w:rsidRPr="002D670E">
        <w:rPr>
          <w:color w:val="000000"/>
        </w:rPr>
        <w:t xml:space="preserve"> доходы от продажи материальных и нематериальных активов</w:t>
      </w:r>
      <w:r w:rsidR="007848B1" w:rsidRPr="002D670E">
        <w:rPr>
          <w:color w:val="000000"/>
        </w:rPr>
        <w:t xml:space="preserve"> </w:t>
      </w:r>
      <w:r w:rsidR="00D832EE">
        <w:rPr>
          <w:color w:val="000000"/>
        </w:rPr>
        <w:t>9386,93</w:t>
      </w:r>
      <w:r w:rsidR="007848B1" w:rsidRPr="002D670E">
        <w:rPr>
          <w:color w:val="000000"/>
        </w:rPr>
        <w:t xml:space="preserve"> тыс. рублей </w:t>
      </w:r>
      <w:r w:rsidR="0096042C" w:rsidRPr="002D670E">
        <w:t>(</w:t>
      </w:r>
      <w:r w:rsidR="00D832EE">
        <w:t>доля 4,3</w:t>
      </w:r>
      <w:r w:rsidR="00B11EB3" w:rsidRPr="002D670E">
        <w:t>%)</w:t>
      </w:r>
      <w:r w:rsidR="00D832EE">
        <w:t>.</w:t>
      </w:r>
    </w:p>
    <w:p w:rsidR="002B5AB1" w:rsidRPr="00BB2E14" w:rsidRDefault="002B5AB1" w:rsidP="00336F7B">
      <w:pPr>
        <w:ind w:firstLine="567"/>
        <w:jc w:val="both"/>
        <w:rPr>
          <w:color w:val="000000"/>
          <w:highlight w:val="yellow"/>
        </w:rPr>
      </w:pPr>
    </w:p>
    <w:p w:rsidR="001709A6" w:rsidRPr="00496C4B" w:rsidRDefault="001709A6" w:rsidP="00E02493">
      <w:pPr>
        <w:ind w:firstLine="567"/>
        <w:jc w:val="both"/>
      </w:pPr>
      <w:r w:rsidRPr="00EB48C0">
        <w:rPr>
          <w:b/>
        </w:rPr>
        <w:t>Безвозмездные поступления</w:t>
      </w:r>
      <w:r w:rsidR="0096042C" w:rsidRPr="00496C4B">
        <w:t xml:space="preserve"> </w:t>
      </w:r>
      <w:r w:rsidRPr="00496C4B">
        <w:t>з</w:t>
      </w:r>
      <w:r w:rsidR="004D270B" w:rsidRPr="00496C4B">
        <w:t xml:space="preserve">а </w:t>
      </w:r>
      <w:r w:rsidR="00D832EE">
        <w:t>1 полугодие</w:t>
      </w:r>
      <w:r w:rsidR="00D832EE" w:rsidRPr="00496C4B">
        <w:t xml:space="preserve"> </w:t>
      </w:r>
      <w:r w:rsidR="00EB48C0">
        <w:t>2022</w:t>
      </w:r>
      <w:r w:rsidR="004D270B" w:rsidRPr="00496C4B">
        <w:t xml:space="preserve"> года </w:t>
      </w:r>
      <w:r w:rsidR="008B2B40" w:rsidRPr="00496C4B">
        <w:t>составили</w:t>
      </w:r>
      <w:r w:rsidR="004D270B" w:rsidRPr="00496C4B">
        <w:t xml:space="preserve"> </w:t>
      </w:r>
      <w:r w:rsidR="00D832EE">
        <w:t>537396,48</w:t>
      </w:r>
      <w:r w:rsidR="0043032F" w:rsidRPr="00496C4B">
        <w:t xml:space="preserve"> </w:t>
      </w:r>
      <w:r w:rsidR="004D270B" w:rsidRPr="00496C4B">
        <w:t xml:space="preserve">тыс. рублей или </w:t>
      </w:r>
      <w:r w:rsidR="00D832EE">
        <w:t>55,4</w:t>
      </w:r>
      <w:r w:rsidR="004D270B" w:rsidRPr="00496C4B">
        <w:t>% к утвержденному прогнозу (</w:t>
      </w:r>
      <w:r w:rsidR="00496C4B" w:rsidRPr="00496C4B">
        <w:t>970172,70</w:t>
      </w:r>
      <w:r w:rsidR="0043032F" w:rsidRPr="00496C4B">
        <w:t xml:space="preserve"> </w:t>
      </w:r>
      <w:r w:rsidR="004D270B" w:rsidRPr="00496C4B">
        <w:t>тыс.</w:t>
      </w:r>
      <w:r w:rsidR="008E0BF4" w:rsidRPr="00496C4B">
        <w:t xml:space="preserve"> </w:t>
      </w:r>
      <w:r w:rsidR="004D270B" w:rsidRPr="00496C4B">
        <w:t>руб.)</w:t>
      </w:r>
      <w:r w:rsidRPr="00496C4B">
        <w:t xml:space="preserve">. </w:t>
      </w:r>
      <w:r w:rsidR="008B2B40" w:rsidRPr="00496C4B">
        <w:t>Их д</w:t>
      </w:r>
      <w:r w:rsidRPr="00496C4B">
        <w:t>оля в общем об</w:t>
      </w:r>
      <w:r w:rsidR="00D05993" w:rsidRPr="00496C4B">
        <w:t xml:space="preserve">ъеме поступлений составляет </w:t>
      </w:r>
      <w:r w:rsidR="00D832EE">
        <w:t>70,92</w:t>
      </w:r>
      <w:r w:rsidRPr="00496C4B">
        <w:t>%. По сравн</w:t>
      </w:r>
      <w:r w:rsidR="00496C4B" w:rsidRPr="00496C4B">
        <w:t>ению с аналогичным периодом 2021</w:t>
      </w:r>
      <w:r w:rsidRPr="00496C4B">
        <w:t xml:space="preserve"> года </w:t>
      </w:r>
      <w:r w:rsidR="00D832EE">
        <w:t>объем безвозмездных поступлений</w:t>
      </w:r>
      <w:r w:rsidRPr="00496C4B">
        <w:t xml:space="preserve"> </w:t>
      </w:r>
      <w:r w:rsidR="00D832EE">
        <w:t>уменьшился</w:t>
      </w:r>
      <w:r w:rsidRPr="00496C4B">
        <w:t xml:space="preserve"> на </w:t>
      </w:r>
      <w:r w:rsidR="00D832EE">
        <w:t>16553,1</w:t>
      </w:r>
      <w:r w:rsidR="00D05993" w:rsidRPr="00496C4B">
        <w:t xml:space="preserve"> тыс. руб. </w:t>
      </w:r>
      <w:r w:rsidR="00301743">
        <w:t xml:space="preserve">или на </w:t>
      </w:r>
      <w:r w:rsidR="00D832EE">
        <w:t>2,99</w:t>
      </w:r>
      <w:r w:rsidRPr="00496C4B">
        <w:t>%.</w:t>
      </w:r>
    </w:p>
    <w:p w:rsidR="005635A8" w:rsidRPr="0096042C" w:rsidRDefault="005635A8" w:rsidP="00E02493">
      <w:pPr>
        <w:ind w:firstLine="567"/>
        <w:jc w:val="both"/>
      </w:pPr>
      <w:r w:rsidRPr="00496C4B">
        <w:t>Безвозмездные поступления по видам представлены в таблице</w:t>
      </w:r>
      <w:r w:rsidR="00496C4B">
        <w:t xml:space="preserve"> №5</w:t>
      </w:r>
      <w:r w:rsidRPr="00496C4B">
        <w:t>:</w:t>
      </w:r>
    </w:p>
    <w:p w:rsidR="001709A6" w:rsidRDefault="00496C4B" w:rsidP="009934D8">
      <w:pPr>
        <w:jc w:val="right"/>
      </w:pPr>
      <w:r>
        <w:t>Таблица №5</w:t>
      </w:r>
      <w:r w:rsidR="005635A8" w:rsidRPr="0096042C">
        <w:t xml:space="preserve">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313"/>
        <w:gridCol w:w="1487"/>
        <w:gridCol w:w="1512"/>
        <w:gridCol w:w="1487"/>
        <w:gridCol w:w="1221"/>
        <w:gridCol w:w="1336"/>
      </w:tblGrid>
      <w:tr w:rsidR="00EB48C0" w:rsidRPr="00EB48C0" w:rsidTr="00F67E53">
        <w:trPr>
          <w:trHeight w:val="3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Наименование  источника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D832EE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Исполнение бюджета на 01.0</w:t>
            </w:r>
            <w:r w:rsidR="00D832EE">
              <w:rPr>
                <w:color w:val="000000"/>
                <w:sz w:val="20"/>
                <w:szCs w:val="20"/>
              </w:rPr>
              <w:t>7</w:t>
            </w:r>
            <w:r w:rsidRPr="00EB48C0">
              <w:rPr>
                <w:color w:val="000000"/>
                <w:sz w:val="20"/>
                <w:szCs w:val="20"/>
              </w:rPr>
              <w:t>.2021г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0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Темпы роста 2022 к 2021 (%) гр.4/гр.2*100</w:t>
            </w:r>
          </w:p>
        </w:tc>
      </w:tr>
      <w:tr w:rsidR="00EB48C0" w:rsidRPr="00EB48C0" w:rsidTr="00F67E53">
        <w:trPr>
          <w:trHeight w:val="765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0" w:rsidRPr="00EB48C0" w:rsidRDefault="00EB48C0" w:rsidP="00EB48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0" w:rsidRPr="00EB48C0" w:rsidRDefault="00EB48C0" w:rsidP="00EB48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Уточненный прогноз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D832EE" w:rsidP="00EB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на 01.07</w:t>
            </w:r>
            <w:r w:rsidR="00EB48C0" w:rsidRPr="00EB48C0">
              <w:rPr>
                <w:color w:val="000000"/>
                <w:sz w:val="20"/>
                <w:szCs w:val="20"/>
              </w:rPr>
              <w:t xml:space="preserve">.2022г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0" w:rsidRPr="00EB48C0" w:rsidRDefault="00EB48C0" w:rsidP="00EB48C0">
            <w:pPr>
              <w:jc w:val="center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0" w:rsidRPr="00EB48C0" w:rsidRDefault="00EB48C0" w:rsidP="00EB48C0">
            <w:pPr>
              <w:rPr>
                <w:color w:val="000000"/>
                <w:sz w:val="20"/>
                <w:szCs w:val="20"/>
              </w:rPr>
            </w:pPr>
          </w:p>
        </w:tc>
      </w:tr>
      <w:tr w:rsidR="00F67E53" w:rsidRPr="00EB48C0" w:rsidTr="00F67E53">
        <w:trPr>
          <w:trHeight w:val="51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Pr="00EB48C0" w:rsidRDefault="00F67E53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553 949,58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970 172,70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537 396,48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97,01</w:t>
            </w:r>
          </w:p>
        </w:tc>
      </w:tr>
      <w:tr w:rsidR="00F67E53" w:rsidRPr="00EB48C0" w:rsidTr="00F67E53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Pr="00EB48C0" w:rsidRDefault="00F67E53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40 547,20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42 073,10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21 036,60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51,88</w:t>
            </w:r>
          </w:p>
        </w:tc>
      </w:tr>
      <w:tr w:rsidR="00F67E53" w:rsidRPr="00EB48C0" w:rsidTr="00F67E53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Pr="00EB48C0" w:rsidRDefault="00F67E53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77 016,27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89 179,17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32 398,78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42,07</w:t>
            </w:r>
          </w:p>
        </w:tc>
      </w:tr>
      <w:tr w:rsidR="00F67E53" w:rsidRPr="00EB48C0" w:rsidTr="00F67E53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Pr="00EB48C0" w:rsidRDefault="00F67E53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374 262,36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715 710,58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365 934,50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97,77</w:t>
            </w:r>
          </w:p>
        </w:tc>
      </w:tr>
      <w:tr w:rsidR="00F67E53" w:rsidRPr="00EB48C0" w:rsidTr="00F67E53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Pr="00EB48C0" w:rsidRDefault="00F67E53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119 237,32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118 605,89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189,33</w:t>
            </w:r>
          </w:p>
        </w:tc>
      </w:tr>
      <w:tr w:rsidR="00F67E53" w:rsidRPr="00EB48C0" w:rsidTr="00F67E53">
        <w:trPr>
          <w:trHeight w:val="6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Pr="00EB48C0" w:rsidRDefault="00F67E53" w:rsidP="003C5918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прочие безвозмездные поступления от гос</w:t>
            </w:r>
            <w:r w:rsidR="003C5918">
              <w:rPr>
                <w:color w:val="000000"/>
                <w:sz w:val="20"/>
                <w:szCs w:val="20"/>
              </w:rPr>
              <w:t>ударственных</w:t>
            </w:r>
            <w:r w:rsidRPr="00EB48C0">
              <w:rPr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2 272,54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2 385,36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F67E53" w:rsidRPr="00EB48C0" w:rsidTr="00F67E53">
        <w:trPr>
          <w:trHeight w:val="55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Pr="00EB48C0" w:rsidRDefault="00F67E53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прочие безвозмездные поступления в 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1 251,46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F67E53" w:rsidRPr="00EB48C0" w:rsidTr="00F67E53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Pr="00EB48C0" w:rsidRDefault="00F67E53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доходы от возврата остатков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1 873,67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F67E53" w:rsidRPr="00EB48C0" w:rsidTr="00F67E53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Pr="00EB48C0" w:rsidRDefault="00F67E53" w:rsidP="00EB48C0">
            <w:pPr>
              <w:jc w:val="both"/>
              <w:rPr>
                <w:color w:val="000000"/>
                <w:sz w:val="20"/>
                <w:szCs w:val="20"/>
              </w:rPr>
            </w:pPr>
            <w:r w:rsidRPr="00EB48C0">
              <w:rPr>
                <w:color w:val="000000"/>
                <w:sz w:val="20"/>
                <w:szCs w:val="20"/>
              </w:rPr>
              <w:t>возврат остатков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-6 089,79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53" w:rsidRDefault="00F67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EB48C0" w:rsidRPr="0096042C" w:rsidRDefault="00EB48C0" w:rsidP="009934D8">
      <w:pPr>
        <w:jc w:val="right"/>
      </w:pPr>
    </w:p>
    <w:p w:rsidR="004D36B5" w:rsidRDefault="00673522" w:rsidP="00E02493">
      <w:pPr>
        <w:ind w:firstLine="567"/>
        <w:jc w:val="both"/>
      </w:pPr>
      <w:r w:rsidRPr="00EB48C0">
        <w:t>Основными видами поступлений являются субвенции (доля</w:t>
      </w:r>
      <w:r w:rsidR="00EB48C0" w:rsidRPr="00EB48C0">
        <w:t xml:space="preserve"> </w:t>
      </w:r>
      <w:r w:rsidR="00EB48C0">
        <w:t xml:space="preserve">в общем объеме поступлений </w:t>
      </w:r>
      <w:r w:rsidR="00F67E53">
        <w:t>68,1</w:t>
      </w:r>
      <w:r w:rsidR="00BF5E27" w:rsidRPr="00EB48C0">
        <w:t>%)</w:t>
      </w:r>
      <w:r w:rsidR="00EB48C0" w:rsidRPr="00EB48C0">
        <w:t xml:space="preserve"> и межбюджетные трансферты (доля </w:t>
      </w:r>
      <w:r w:rsidR="00F67E53">
        <w:t>22,1</w:t>
      </w:r>
      <w:r w:rsidR="00EB48C0" w:rsidRPr="00EB48C0">
        <w:t>%)</w:t>
      </w:r>
      <w:r w:rsidR="00BF5E27" w:rsidRPr="00EB48C0">
        <w:t>,</w:t>
      </w:r>
      <w:r w:rsidRPr="00EB48C0">
        <w:t xml:space="preserve"> субсидии (доля </w:t>
      </w:r>
      <w:r w:rsidR="00F67E53">
        <w:t>6,0</w:t>
      </w:r>
      <w:r w:rsidR="00BF5E27" w:rsidRPr="00EB48C0">
        <w:t xml:space="preserve">%) и дотации (доля </w:t>
      </w:r>
      <w:r w:rsidR="00EB48C0" w:rsidRPr="00EB48C0">
        <w:t>3,9</w:t>
      </w:r>
      <w:r w:rsidR="00BF5E27" w:rsidRPr="00EB48C0">
        <w:t>%).</w:t>
      </w:r>
    </w:p>
    <w:p w:rsidR="001918AC" w:rsidRDefault="001918AC" w:rsidP="00E02493">
      <w:pPr>
        <w:ind w:firstLine="567"/>
        <w:jc w:val="both"/>
      </w:pPr>
    </w:p>
    <w:p w:rsidR="00891BCA" w:rsidRPr="001E3D5B" w:rsidRDefault="005248D9" w:rsidP="008B2B40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E3D5B">
        <w:rPr>
          <w:b/>
          <w:sz w:val="22"/>
          <w:szCs w:val="22"/>
        </w:rPr>
        <w:t>Анализ и</w:t>
      </w:r>
      <w:r w:rsidR="00EC5238" w:rsidRPr="001E3D5B">
        <w:rPr>
          <w:b/>
          <w:sz w:val="22"/>
          <w:szCs w:val="22"/>
        </w:rPr>
        <w:t>сполнени</w:t>
      </w:r>
      <w:r w:rsidR="004F3E35" w:rsidRPr="001E3D5B">
        <w:rPr>
          <w:b/>
          <w:sz w:val="22"/>
          <w:szCs w:val="22"/>
        </w:rPr>
        <w:t>я</w:t>
      </w:r>
      <w:r w:rsidR="00EC5238" w:rsidRPr="001E3D5B">
        <w:rPr>
          <w:b/>
          <w:sz w:val="22"/>
          <w:szCs w:val="22"/>
        </w:rPr>
        <w:t xml:space="preserve"> </w:t>
      </w:r>
      <w:r w:rsidRPr="001E3D5B">
        <w:rPr>
          <w:b/>
          <w:sz w:val="22"/>
          <w:szCs w:val="22"/>
        </w:rPr>
        <w:t xml:space="preserve">расходной части </w:t>
      </w:r>
      <w:r w:rsidR="00EC5238" w:rsidRPr="001E3D5B">
        <w:rPr>
          <w:b/>
          <w:sz w:val="22"/>
          <w:szCs w:val="22"/>
        </w:rPr>
        <w:t>бюджета</w:t>
      </w:r>
      <w:r w:rsidR="008B2B40">
        <w:rPr>
          <w:b/>
          <w:sz w:val="22"/>
          <w:szCs w:val="22"/>
        </w:rPr>
        <w:t>.</w:t>
      </w:r>
    </w:p>
    <w:p w:rsidR="00BB1FEA" w:rsidRPr="00966AC6" w:rsidRDefault="00034342" w:rsidP="00EB477D">
      <w:pPr>
        <w:ind w:firstLine="567"/>
        <w:jc w:val="both"/>
      </w:pPr>
      <w:r w:rsidRPr="00966AC6">
        <w:t>В целом</w:t>
      </w:r>
      <w:r w:rsidRPr="00966AC6">
        <w:rPr>
          <w:b/>
        </w:rPr>
        <w:t xml:space="preserve"> р</w:t>
      </w:r>
      <w:r w:rsidR="00891BCA" w:rsidRPr="00966AC6">
        <w:rPr>
          <w:b/>
        </w:rPr>
        <w:t>асходы</w:t>
      </w:r>
      <w:r w:rsidR="00891BCA" w:rsidRPr="00966AC6">
        <w:t xml:space="preserve"> бюджета МО «Ахтубинский район» </w:t>
      </w:r>
      <w:r w:rsidRPr="00966AC6">
        <w:t xml:space="preserve">за </w:t>
      </w:r>
      <w:r w:rsidR="00FE740D">
        <w:t>1 полугодие</w:t>
      </w:r>
      <w:r w:rsidR="00243468" w:rsidRPr="00966AC6">
        <w:t xml:space="preserve"> </w:t>
      </w:r>
      <w:r w:rsidR="0096042C" w:rsidRPr="00966AC6">
        <w:t>2</w:t>
      </w:r>
      <w:r w:rsidR="00C71B31" w:rsidRPr="00966AC6">
        <w:t>022</w:t>
      </w:r>
      <w:r w:rsidR="00891BCA" w:rsidRPr="00966AC6">
        <w:t xml:space="preserve"> года </w:t>
      </w:r>
      <w:r w:rsidRPr="00966AC6">
        <w:t xml:space="preserve">исполнены в сумме </w:t>
      </w:r>
      <w:r w:rsidR="00FE740D">
        <w:t>747853,73</w:t>
      </w:r>
      <w:r w:rsidR="0096042C" w:rsidRPr="00966AC6">
        <w:t xml:space="preserve"> </w:t>
      </w:r>
      <w:r w:rsidR="00891BCA" w:rsidRPr="00966AC6">
        <w:t>тыс.</w:t>
      </w:r>
      <w:r w:rsidR="004A307E" w:rsidRPr="00966AC6">
        <w:t xml:space="preserve"> </w:t>
      </w:r>
      <w:r w:rsidR="00891BCA" w:rsidRPr="00966AC6">
        <w:t>руб</w:t>
      </w:r>
      <w:r w:rsidR="00C860C7" w:rsidRPr="00966AC6">
        <w:t>.,</w:t>
      </w:r>
      <w:r w:rsidRPr="00966AC6">
        <w:t xml:space="preserve"> на </w:t>
      </w:r>
      <w:r w:rsidR="00FE740D">
        <w:t>51,4</w:t>
      </w:r>
      <w:r w:rsidR="00891BCA" w:rsidRPr="00966AC6">
        <w:t>% от годовых назначений</w:t>
      </w:r>
      <w:r w:rsidR="00C94B30" w:rsidRPr="00966AC6">
        <w:t>,</w:t>
      </w:r>
      <w:r w:rsidR="00891BCA" w:rsidRPr="00966AC6">
        <w:t xml:space="preserve"> </w:t>
      </w:r>
      <w:r w:rsidR="00354C4E" w:rsidRPr="00966AC6">
        <w:t xml:space="preserve">или </w:t>
      </w:r>
      <w:r w:rsidR="00FE740D">
        <w:t>91,05</w:t>
      </w:r>
      <w:r w:rsidR="00354C4E" w:rsidRPr="00966AC6">
        <w:t xml:space="preserve">% к аналогичному периоду </w:t>
      </w:r>
      <w:r w:rsidR="00966AC6" w:rsidRPr="00966AC6">
        <w:t>2021</w:t>
      </w:r>
      <w:r w:rsidR="00354C4E" w:rsidRPr="00966AC6">
        <w:t xml:space="preserve"> года (</w:t>
      </w:r>
      <w:r w:rsidR="00FE740D" w:rsidRPr="00FE740D">
        <w:t xml:space="preserve">821386,93 </w:t>
      </w:r>
      <w:r w:rsidR="00EB477D" w:rsidRPr="00966AC6">
        <w:t>тыс.</w:t>
      </w:r>
      <w:r w:rsidR="004A307E" w:rsidRPr="00966AC6">
        <w:t xml:space="preserve"> </w:t>
      </w:r>
      <w:r w:rsidR="00EB477D" w:rsidRPr="00966AC6">
        <w:t>руб.).</w:t>
      </w:r>
    </w:p>
    <w:p w:rsidR="004622EC" w:rsidRPr="0096042C" w:rsidRDefault="004622EC" w:rsidP="004622EC">
      <w:pPr>
        <w:jc w:val="both"/>
      </w:pPr>
      <w:r w:rsidRPr="00966AC6">
        <w:t xml:space="preserve">По </w:t>
      </w:r>
      <w:r w:rsidR="00966AC6">
        <w:t>17</w:t>
      </w:r>
      <w:r w:rsidRPr="00966AC6">
        <w:t xml:space="preserve"> программам</w:t>
      </w:r>
      <w:r w:rsidR="00C860C7" w:rsidRPr="00966AC6">
        <w:t xml:space="preserve"> и </w:t>
      </w:r>
      <w:r w:rsidR="00F45D7A">
        <w:t xml:space="preserve">2 </w:t>
      </w:r>
      <w:r w:rsidR="00C860C7" w:rsidRPr="00966AC6">
        <w:t>непрограммным мероприятиям</w:t>
      </w:r>
      <w:r w:rsidRPr="00966AC6">
        <w:t xml:space="preserve"> распределение ассигнований представлено в таблице</w:t>
      </w:r>
      <w:r w:rsidR="00EB477D" w:rsidRPr="00966AC6">
        <w:t xml:space="preserve"> №</w:t>
      </w:r>
      <w:r w:rsidR="00C71B31" w:rsidRPr="00966AC6">
        <w:t>6</w:t>
      </w:r>
      <w:r w:rsidRPr="00966AC6">
        <w:t>:</w:t>
      </w:r>
    </w:p>
    <w:p w:rsidR="004622EC" w:rsidRDefault="00C6610B" w:rsidP="004622EC">
      <w:pPr>
        <w:jc w:val="right"/>
      </w:pPr>
      <w:r>
        <w:t>Таблица</w:t>
      </w:r>
      <w:r w:rsidR="00C71B31">
        <w:t xml:space="preserve"> №6</w:t>
      </w:r>
      <w:r w:rsidR="004622EC" w:rsidRPr="0096042C">
        <w:t xml:space="preserve"> (тыс. руб.)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276"/>
        <w:gridCol w:w="1418"/>
        <w:gridCol w:w="1275"/>
        <w:gridCol w:w="1276"/>
        <w:gridCol w:w="1276"/>
      </w:tblGrid>
      <w:tr w:rsidR="00D5466B" w:rsidRPr="00D5466B" w:rsidTr="000667F0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BE1B51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 xml:space="preserve">Исполнение </w:t>
            </w:r>
            <w:r w:rsidR="00BE1B51">
              <w:rPr>
                <w:color w:val="000000"/>
                <w:sz w:val="20"/>
                <w:szCs w:val="20"/>
              </w:rPr>
              <w:t xml:space="preserve">на 01.07.2021 </w:t>
            </w:r>
            <w:r w:rsidRPr="00D5466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FE740D" w:rsidP="00966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Сводная бюджетная роспись на 30.06</w:t>
            </w:r>
            <w:r w:rsidR="00966AC6">
              <w:rPr>
                <w:color w:val="000000"/>
                <w:sz w:val="20"/>
                <w:szCs w:val="20"/>
              </w:rPr>
              <w:t>.2022</w:t>
            </w:r>
            <w:r w:rsidR="00D5466B" w:rsidRPr="00D5466B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BE1B51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 xml:space="preserve">Исполнение </w:t>
            </w:r>
            <w:r w:rsidR="00BE1B51">
              <w:rPr>
                <w:color w:val="000000"/>
                <w:sz w:val="20"/>
                <w:szCs w:val="20"/>
              </w:rPr>
              <w:t>на 01.07.2022</w:t>
            </w:r>
            <w:r w:rsidRPr="00D5466B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BE1B51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1918A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Темпы роста 2022 к 2021 (%) гр.4/гр.2*100</w:t>
            </w:r>
          </w:p>
        </w:tc>
      </w:tr>
      <w:tr w:rsidR="00D5466B" w:rsidRPr="00D5466B" w:rsidTr="000667F0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6B" w:rsidRPr="00D5466B" w:rsidRDefault="00D5466B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FE740D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системы образования в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437 827,36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894 045,31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449 702,85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102,71%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 xml:space="preserve">МП «Обеспечение общественного порядка и противодействие преступности </w:t>
            </w:r>
            <w:proofErr w:type="gramStart"/>
            <w:r w:rsidRPr="00D5466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5466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66B">
              <w:rPr>
                <w:color w:val="000000"/>
                <w:sz w:val="20"/>
                <w:szCs w:val="20"/>
              </w:rPr>
              <w:t>Ахтубинском</w:t>
            </w:r>
            <w:proofErr w:type="gramEnd"/>
            <w:r w:rsidRPr="00D5466B">
              <w:rPr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275,7023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1145,85693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415,61%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культуры и сохранение культурного наследия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51 344,76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108 354,80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101,28%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150D10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«Охрана окружающей среды в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39,84%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 xml:space="preserve">МП «Развитие физической культуры и спорта </w:t>
            </w:r>
            <w:proofErr w:type="gramStart"/>
            <w:r w:rsidRPr="00D5466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5466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466B">
              <w:rPr>
                <w:color w:val="000000"/>
                <w:sz w:val="20"/>
                <w:szCs w:val="20"/>
              </w:rPr>
              <w:t>Ахтубинском</w:t>
            </w:r>
            <w:proofErr w:type="gramEnd"/>
            <w:r w:rsidRPr="00D5466B">
              <w:rPr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BE1B51" w:rsidRPr="00D5466B" w:rsidTr="000667F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«Молодежь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66,58%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и поддержка малого и среднего предпринимательства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агропромышленного комплекса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20 270,67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131,30%</w:t>
            </w:r>
          </w:p>
        </w:tc>
      </w:tr>
      <w:tr w:rsidR="00BE1B51" w:rsidRPr="00D5466B" w:rsidTr="000667F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144 413,89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156 155,66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119 280,26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76,39%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82,60%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«Стимулирование развития жилищного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«Комплексное развитие дорожной инфраструктуры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79 159,22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18 161,68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77,60%</w:t>
            </w:r>
          </w:p>
        </w:tc>
      </w:tr>
      <w:tr w:rsidR="00BE1B51" w:rsidRPr="00D5466B" w:rsidTr="000667F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32 168,92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99,81%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«Повышение эффективности управления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41 436,06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74 662,54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87,40%</w:t>
            </w:r>
          </w:p>
        </w:tc>
      </w:tr>
      <w:tr w:rsidR="00BE1B51" w:rsidRPr="00D5466B" w:rsidTr="000667F0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468,9129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122,74%</w:t>
            </w:r>
          </w:p>
        </w:tc>
      </w:tr>
      <w:tr w:rsidR="00BE1B51" w:rsidRPr="00D5466B" w:rsidTr="000667F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«Реализация функций органов местного самоуправления муниципального образования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17 084,59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41 470,94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14 939,54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87,44%</w:t>
            </w:r>
          </w:p>
        </w:tc>
      </w:tr>
      <w:tr w:rsidR="00BE1B51" w:rsidRPr="00D5466B" w:rsidTr="000667F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BE1B51" w:rsidRPr="00D5466B" w:rsidTr="000667F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МП «Совершенствование системы управления муниципальной собственностью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488,20%</w:t>
            </w:r>
          </w:p>
        </w:tc>
      </w:tr>
      <w:tr w:rsidR="00BE1B51" w:rsidRPr="00D5466B" w:rsidTr="000667F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35 514,66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53,75%</w:t>
            </w:r>
          </w:p>
        </w:tc>
      </w:tr>
      <w:tr w:rsidR="00BE1B51" w:rsidRPr="00D5466B" w:rsidTr="000667F0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Непрограммное направление деятельности реализация функций органов местного самоуправления администрации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136,24%</w:t>
            </w:r>
          </w:p>
        </w:tc>
      </w:tr>
      <w:tr w:rsidR="00BE1B51" w:rsidRPr="00D5466B" w:rsidTr="000667F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Pr="00D5466B" w:rsidRDefault="00BE1B51" w:rsidP="00D5466B">
            <w:pPr>
              <w:jc w:val="center"/>
              <w:rPr>
                <w:color w:val="000000"/>
                <w:sz w:val="20"/>
                <w:szCs w:val="20"/>
              </w:rPr>
            </w:pPr>
            <w:r w:rsidRPr="00D5466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821 386,93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1 459 782,57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747 853,73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51" w:rsidRDefault="00BE1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91,05%</w:t>
            </w:r>
          </w:p>
        </w:tc>
      </w:tr>
    </w:tbl>
    <w:p w:rsidR="00D5466B" w:rsidRDefault="00D5466B" w:rsidP="004622EC">
      <w:pPr>
        <w:jc w:val="right"/>
      </w:pPr>
    </w:p>
    <w:p w:rsidR="004622EC" w:rsidRPr="00AD5148" w:rsidRDefault="00833068" w:rsidP="00494D47">
      <w:pPr>
        <w:jc w:val="both"/>
        <w:rPr>
          <w:b/>
        </w:rPr>
      </w:pPr>
      <w:r w:rsidRPr="00AD5148">
        <w:rPr>
          <w:b/>
          <w:color w:val="000000"/>
        </w:rPr>
        <w:t>Исполнение финансовых обязательств</w:t>
      </w:r>
      <w:r w:rsidR="00924CAD" w:rsidRPr="00AD5148">
        <w:rPr>
          <w:b/>
          <w:color w:val="000000"/>
        </w:rPr>
        <w:t xml:space="preserve"> от 50</w:t>
      </w:r>
      <w:r w:rsidR="00D5466B" w:rsidRPr="00AD5148">
        <w:rPr>
          <w:b/>
          <w:color w:val="000000"/>
        </w:rPr>
        <w:t>%</w:t>
      </w:r>
      <w:r w:rsidRPr="00AD5148">
        <w:rPr>
          <w:b/>
        </w:rPr>
        <w:t xml:space="preserve"> </w:t>
      </w:r>
      <w:r w:rsidR="00924CAD" w:rsidRPr="00AD5148">
        <w:rPr>
          <w:b/>
        </w:rPr>
        <w:t>до 91</w:t>
      </w:r>
      <w:r w:rsidR="00F66709" w:rsidRPr="00AD5148">
        <w:rPr>
          <w:b/>
        </w:rPr>
        <w:t xml:space="preserve">% обеспечено по </w:t>
      </w:r>
      <w:r w:rsidR="00AD5148" w:rsidRPr="00AD5148">
        <w:rPr>
          <w:b/>
        </w:rPr>
        <w:t>5</w:t>
      </w:r>
      <w:r w:rsidRPr="00AD5148">
        <w:rPr>
          <w:b/>
        </w:rPr>
        <w:t xml:space="preserve"> муницип</w:t>
      </w:r>
      <w:r w:rsidR="00F66709" w:rsidRPr="00AD5148">
        <w:rPr>
          <w:b/>
        </w:rPr>
        <w:t>альным программам (далее МП)</w:t>
      </w:r>
      <w:r w:rsidR="00AD5148" w:rsidRPr="00AD5148">
        <w:t xml:space="preserve"> </w:t>
      </w:r>
      <w:r w:rsidR="00AD5148" w:rsidRPr="00AD5148">
        <w:rPr>
          <w:b/>
        </w:rPr>
        <w:t>и 1 не</w:t>
      </w:r>
      <w:r w:rsidR="00AD5148">
        <w:rPr>
          <w:b/>
        </w:rPr>
        <w:t xml:space="preserve">программному </w:t>
      </w:r>
      <w:r w:rsidR="00AD5148" w:rsidRPr="00AD5148">
        <w:rPr>
          <w:b/>
        </w:rPr>
        <w:t>направлению</w:t>
      </w:r>
      <w:r w:rsidR="00715898" w:rsidRPr="00AD5148">
        <w:rPr>
          <w:b/>
        </w:rPr>
        <w:t>:</w:t>
      </w:r>
    </w:p>
    <w:p w:rsidR="0048656F" w:rsidRPr="009F7F51" w:rsidRDefault="0048656F" w:rsidP="003B4189">
      <w:pPr>
        <w:pStyle w:val="a3"/>
        <w:numPr>
          <w:ilvl w:val="0"/>
          <w:numId w:val="12"/>
        </w:numPr>
        <w:jc w:val="both"/>
      </w:pPr>
      <w:proofErr w:type="gramStart"/>
      <w:r w:rsidRPr="005930B6">
        <w:lastRenderedPageBreak/>
        <w:t>МП «Обеспечение общественного порядка и противодействие преступности в Ахтубинском районе»</w:t>
      </w:r>
      <w:r>
        <w:t xml:space="preserve"> исполнение 90,9%</w:t>
      </w:r>
      <w:r w:rsidR="003B4189">
        <w:t xml:space="preserve"> (1145,86 тыс. руб.)</w:t>
      </w:r>
      <w:r>
        <w:t xml:space="preserve"> </w:t>
      </w:r>
      <w:r w:rsidRPr="00A570CE">
        <w:rPr>
          <w:color w:val="000000" w:themeColor="text1"/>
        </w:rPr>
        <w:t xml:space="preserve">произведено </w:t>
      </w:r>
      <w:r w:rsidRPr="009F7F51">
        <w:t>финансирование текущего ремонта ограждений МКОУ «Капустиноярская СОШ МО «Ахтубинский район»</w:t>
      </w:r>
      <w:r w:rsidR="003B4189" w:rsidRPr="009F7F51">
        <w:t xml:space="preserve"> на общую сумму 1106,3 тыс. руб., подпрограммы "Профилактика правонарушений и усиление борьбы с преступностью в Ахтубинском районе" на сумму 5,9 тыс. </w:t>
      </w:r>
      <w:proofErr w:type="spellStart"/>
      <w:r w:rsidR="003B4189" w:rsidRPr="009F7F51">
        <w:t>руб</w:t>
      </w:r>
      <w:proofErr w:type="spellEnd"/>
      <w:r w:rsidR="003B4189" w:rsidRPr="009F7F51">
        <w:t>, подпрограммы "Комплексные меры противодействия злоупотреблению наркотиками, профилактика алкоголизма, заболеваний, передающихся половым путем</w:t>
      </w:r>
      <w:proofErr w:type="gramEnd"/>
      <w:r w:rsidR="003B4189" w:rsidRPr="009F7F51">
        <w:t xml:space="preserve"> (</w:t>
      </w:r>
      <w:proofErr w:type="gramStart"/>
      <w:r w:rsidR="003B4189" w:rsidRPr="009F7F51">
        <w:t>ЗППП) на сумму 17,0 тыс. руб.,</w:t>
      </w:r>
      <w:r w:rsidR="00A570CE" w:rsidRPr="009F7F51">
        <w:t xml:space="preserve"> и иные расходы на общую сумму 16,66 тыс. руб.</w:t>
      </w:r>
      <w:r w:rsidRPr="009F7F51">
        <w:t>;</w:t>
      </w:r>
      <w:proofErr w:type="gramEnd"/>
    </w:p>
    <w:p w:rsidR="00715898" w:rsidRPr="00C90BEE" w:rsidRDefault="00715898" w:rsidP="0075157D">
      <w:pPr>
        <w:pStyle w:val="a3"/>
        <w:numPr>
          <w:ilvl w:val="0"/>
          <w:numId w:val="12"/>
        </w:numPr>
        <w:jc w:val="both"/>
      </w:pPr>
      <w:r w:rsidRPr="00C90BEE">
        <w:t xml:space="preserve">МП «Развитие агропромышленного комплекса Ахтубинского района» МП «Развитие агропромышленного комплекса Ахтубинского района» исполнение </w:t>
      </w:r>
      <w:r w:rsidR="00C21F7D" w:rsidRPr="00C90BEE">
        <w:t>88,8</w:t>
      </w:r>
      <w:r w:rsidRPr="00C90BEE">
        <w:t xml:space="preserve">%, выделены субсидий на поддержку </w:t>
      </w:r>
      <w:proofErr w:type="spellStart"/>
      <w:r w:rsidRPr="00C90BEE">
        <w:t>сельхозтоваропроизводителей</w:t>
      </w:r>
      <w:proofErr w:type="spellEnd"/>
      <w:r w:rsidR="0075157D" w:rsidRPr="00C90BEE">
        <w:t>, содержание аппарата управления сельского хозяйства, реализация мероприятий при осуществлении деятельности по обращению с животными без владельцев на территории МО "Ахтубинский район"</w:t>
      </w:r>
      <w:r w:rsidR="00C90BEE" w:rsidRPr="00C90BEE">
        <w:t>, содержание аппарата управления сельского хозяйства</w:t>
      </w:r>
      <w:r w:rsidR="00373D34" w:rsidRPr="00C90BEE">
        <w:t xml:space="preserve"> (</w:t>
      </w:r>
      <w:r w:rsidR="00C21F7D" w:rsidRPr="00C90BEE">
        <w:t>1800</w:t>
      </w:r>
      <w:r w:rsidR="00823D34">
        <w:t>0</w:t>
      </w:r>
      <w:r w:rsidR="00C21F7D" w:rsidRPr="00C90BEE">
        <w:t>,52</w:t>
      </w:r>
      <w:r w:rsidR="00373D34" w:rsidRPr="00C90BEE">
        <w:t xml:space="preserve"> тыс. руб.)</w:t>
      </w:r>
      <w:r w:rsidRPr="00C90BEE">
        <w:t>;</w:t>
      </w:r>
    </w:p>
    <w:p w:rsidR="00715898" w:rsidRPr="00C90BEE" w:rsidRDefault="00715898" w:rsidP="00715898">
      <w:pPr>
        <w:pStyle w:val="a3"/>
        <w:numPr>
          <w:ilvl w:val="0"/>
          <w:numId w:val="12"/>
        </w:numPr>
        <w:jc w:val="both"/>
      </w:pPr>
      <w:r w:rsidRPr="00C90BEE">
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</w:t>
      </w:r>
      <w:bookmarkStart w:id="0" w:name="_GoBack"/>
      <w:bookmarkEnd w:id="0"/>
      <w:r w:rsidRPr="00C90BEE">
        <w:t xml:space="preserve">на» исполнение </w:t>
      </w:r>
      <w:r w:rsidR="0075157D" w:rsidRPr="00C90BEE">
        <w:t>76,4</w:t>
      </w:r>
      <w:r w:rsidRPr="00C90BEE">
        <w:t>%</w:t>
      </w:r>
      <w:r w:rsidR="009F7F51">
        <w:t xml:space="preserve"> (119280,26 тыс. руб.)</w:t>
      </w:r>
      <w:r w:rsidRPr="00C90BEE">
        <w:t xml:space="preserve">, осуществлены мероприятия по покупке жидкого топлива (мазута) </w:t>
      </w:r>
      <w:r w:rsidR="00AB7A5D" w:rsidRPr="00C90BEE">
        <w:t>на очередной отопительный сезон</w:t>
      </w:r>
      <w:r w:rsidR="009F7F51">
        <w:t>, закупке</w:t>
      </w:r>
      <w:r w:rsidR="00C90BEE">
        <w:t xml:space="preserve"> химических реагентов</w:t>
      </w:r>
      <w:r w:rsidR="009F7F51">
        <w:t>, техническому обслуживанию объектов водоснабжения, регулированию численности безнадзорных животных</w:t>
      </w:r>
      <w:r w:rsidR="00AB7A5D" w:rsidRPr="00C90BEE">
        <w:t>;</w:t>
      </w:r>
    </w:p>
    <w:p w:rsidR="006540A5" w:rsidRPr="006540A5" w:rsidRDefault="00715898" w:rsidP="006540A5">
      <w:pPr>
        <w:pStyle w:val="a3"/>
        <w:numPr>
          <w:ilvl w:val="0"/>
          <w:numId w:val="12"/>
        </w:numPr>
        <w:jc w:val="both"/>
      </w:pPr>
      <w:r w:rsidRPr="00C90BEE">
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</w:r>
      <w:r w:rsidR="00AB7A5D" w:rsidRPr="00C90BEE">
        <w:t xml:space="preserve"> исполнение 55,1%, </w:t>
      </w:r>
      <w:r w:rsidR="00B06CDC" w:rsidRPr="00C90BEE">
        <w:t>обеспечение функционирования МКУ</w:t>
      </w:r>
      <w:r w:rsidR="005930B6" w:rsidRPr="00C90BEE">
        <w:t xml:space="preserve"> «Типография» 575,55 тыс. руб.</w:t>
      </w:r>
      <w:r w:rsidR="00B06CDC" w:rsidRPr="00C90BEE">
        <w:t>;</w:t>
      </w:r>
    </w:p>
    <w:p w:rsidR="006540A5" w:rsidRPr="006540A5" w:rsidRDefault="0075157D" w:rsidP="006540A5">
      <w:pPr>
        <w:pStyle w:val="a3"/>
        <w:numPr>
          <w:ilvl w:val="0"/>
          <w:numId w:val="12"/>
        </w:numPr>
        <w:jc w:val="both"/>
      </w:pPr>
      <w:r w:rsidRPr="006540A5">
        <w:t xml:space="preserve">МП «Развитие системы образования в МО «Ахтубинский район» исполнение 50,3%, </w:t>
      </w:r>
      <w:r w:rsidR="005930B6" w:rsidRPr="006540A5">
        <w:t xml:space="preserve">произведено финансирование дошкольных и общеобразовательных учреждений, учреждений дополнительного образования и </w:t>
      </w:r>
      <w:proofErr w:type="gramStart"/>
      <w:r w:rsidR="005930B6" w:rsidRPr="006540A5">
        <w:t>учреждений</w:t>
      </w:r>
      <w:proofErr w:type="gramEnd"/>
      <w:r w:rsidR="005930B6" w:rsidRPr="006540A5">
        <w:t xml:space="preserve"> подведомственных управлению образованием </w:t>
      </w:r>
      <w:r w:rsidR="00C90BEE" w:rsidRPr="006540A5">
        <w:t>М</w:t>
      </w:r>
      <w:r w:rsidR="005930B6" w:rsidRPr="006540A5">
        <w:t>О "Ахтубинский район" на общую сумму 449702,85 тыс. руб.;</w:t>
      </w:r>
    </w:p>
    <w:p w:rsidR="0048656F" w:rsidRPr="006540A5" w:rsidRDefault="00AD5148" w:rsidP="00F515F0">
      <w:pPr>
        <w:pStyle w:val="a3"/>
        <w:numPr>
          <w:ilvl w:val="0"/>
          <w:numId w:val="12"/>
        </w:numPr>
        <w:jc w:val="both"/>
      </w:pPr>
      <w:proofErr w:type="gramStart"/>
      <w:r w:rsidRPr="006540A5">
        <w:t>Иные непрограммные мероприятия исполнены на 50,0%</w:t>
      </w:r>
      <w:r w:rsidR="00C90BEE" w:rsidRPr="006540A5">
        <w:t xml:space="preserve"> на общую сумму 17771,27 тыс</w:t>
      </w:r>
      <w:r w:rsidR="00C90BEE" w:rsidRPr="00F45D7A">
        <w:t>. руб.</w:t>
      </w:r>
      <w:r w:rsidR="00F45D7A" w:rsidRPr="00F45D7A">
        <w:t xml:space="preserve">, </w:t>
      </w:r>
      <w:r w:rsidR="007C2BB2">
        <w:t xml:space="preserve">произведено финансирование деятельности </w:t>
      </w:r>
      <w:r w:rsidR="00F45D7A" w:rsidRPr="00F45D7A">
        <w:t>Совета МО «Ахтубинский район</w:t>
      </w:r>
      <w:r w:rsidR="00F45D7A">
        <w:t>»</w:t>
      </w:r>
      <w:r w:rsidR="006540A5">
        <w:t xml:space="preserve"> (</w:t>
      </w:r>
      <w:r w:rsidR="00F515F0">
        <w:t>814,63</w:t>
      </w:r>
      <w:r w:rsidR="006540A5">
        <w:t xml:space="preserve"> тыс. руб.)</w:t>
      </w:r>
      <w:r w:rsidR="00F45D7A">
        <w:t>,</w:t>
      </w:r>
      <w:r w:rsidR="007C2BB2">
        <w:t xml:space="preserve"> КСП (591,44 тыс. руб.)</w:t>
      </w:r>
      <w:r w:rsidR="00F45D7A">
        <w:t xml:space="preserve"> исполнительных листов </w:t>
      </w:r>
      <w:r w:rsidR="00F45D7A" w:rsidRPr="00F45D7A">
        <w:t>ПАО "Астраханская энергосбытовая компания"</w:t>
      </w:r>
      <w:r w:rsidR="006540A5">
        <w:t>(14990,8 тыс. руб.)</w:t>
      </w:r>
      <w:r w:rsidR="00694644">
        <w:t>, судебных актов (20,00 тыс. руб.),</w:t>
      </w:r>
      <w:r w:rsidR="006540A5">
        <w:t xml:space="preserve"> и </w:t>
      </w:r>
      <w:r w:rsidR="00694644">
        <w:t>содержание имущества многоквартирных домов</w:t>
      </w:r>
      <w:r w:rsidR="006540A5">
        <w:t xml:space="preserve"> (</w:t>
      </w:r>
      <w:r w:rsidR="00694644">
        <w:t>14,1 тыс. руб.)</w:t>
      </w:r>
      <w:r w:rsidR="00F515F0">
        <w:t xml:space="preserve"> и оплата за энергетические ресурсы (1262,02 тыс. руб.) и иные расходы</w:t>
      </w:r>
      <w:r w:rsidR="00F45D7A">
        <w:t>.</w:t>
      </w:r>
      <w:proofErr w:type="gramEnd"/>
    </w:p>
    <w:p w:rsidR="00AD5148" w:rsidRPr="00C90BEE" w:rsidRDefault="00AD5148" w:rsidP="00AD5148">
      <w:pPr>
        <w:pStyle w:val="a3"/>
        <w:jc w:val="both"/>
        <w:rPr>
          <w:highlight w:val="lightGray"/>
        </w:rPr>
      </w:pPr>
    </w:p>
    <w:p w:rsidR="00494D47" w:rsidRPr="009F7F51" w:rsidRDefault="00833068" w:rsidP="00494D47">
      <w:pPr>
        <w:jc w:val="both"/>
        <w:rPr>
          <w:b/>
        </w:rPr>
      </w:pPr>
      <w:r w:rsidRPr="009F7F51">
        <w:rPr>
          <w:b/>
          <w:color w:val="000000"/>
        </w:rPr>
        <w:t xml:space="preserve">Исполнение финансовых обязательств от </w:t>
      </w:r>
      <w:r w:rsidR="0048656F" w:rsidRPr="009F7F51">
        <w:rPr>
          <w:b/>
          <w:color w:val="000000"/>
        </w:rPr>
        <w:t>3</w:t>
      </w:r>
      <w:r w:rsidR="00D5466B" w:rsidRPr="009F7F51">
        <w:rPr>
          <w:b/>
          <w:color w:val="000000"/>
        </w:rPr>
        <w:t>0</w:t>
      </w:r>
      <w:r w:rsidRPr="009F7F51">
        <w:rPr>
          <w:b/>
          <w:color w:val="000000"/>
        </w:rPr>
        <w:t>% до</w:t>
      </w:r>
      <w:r w:rsidRPr="009F7F51">
        <w:rPr>
          <w:b/>
        </w:rPr>
        <w:t xml:space="preserve"> </w:t>
      </w:r>
      <w:r w:rsidR="0048656F" w:rsidRPr="009F7F51">
        <w:rPr>
          <w:b/>
        </w:rPr>
        <w:t>5</w:t>
      </w:r>
      <w:r w:rsidR="00D5466B" w:rsidRPr="009F7F51">
        <w:rPr>
          <w:b/>
        </w:rPr>
        <w:t>0</w:t>
      </w:r>
      <w:r w:rsidRPr="009F7F51">
        <w:rPr>
          <w:b/>
        </w:rPr>
        <w:t xml:space="preserve">% обеспечено по </w:t>
      </w:r>
      <w:r w:rsidR="0048656F" w:rsidRPr="009F7F51">
        <w:rPr>
          <w:b/>
        </w:rPr>
        <w:t>5</w:t>
      </w:r>
      <w:r w:rsidRPr="009F7F51">
        <w:rPr>
          <w:b/>
        </w:rPr>
        <w:t xml:space="preserve"> МП</w:t>
      </w:r>
      <w:r w:rsidR="00D5466B" w:rsidRPr="009F7F51">
        <w:rPr>
          <w:b/>
        </w:rPr>
        <w:t xml:space="preserve"> и 1 непрограммному направлению.</w:t>
      </w:r>
    </w:p>
    <w:p w:rsidR="00AB7A5D" w:rsidRPr="00C90BEE" w:rsidRDefault="00AB7A5D" w:rsidP="00AB7A5D">
      <w:pPr>
        <w:pStyle w:val="a3"/>
        <w:numPr>
          <w:ilvl w:val="0"/>
          <w:numId w:val="13"/>
        </w:numPr>
        <w:jc w:val="both"/>
      </w:pPr>
      <w:r w:rsidRPr="009F7F51">
        <w:t>МП «Создание условий для функционирования</w:t>
      </w:r>
      <w:r w:rsidRPr="00C90BEE">
        <w:t xml:space="preserve"> органов местного самоуправления муниципального образования «Ахтубинский район» исполнение </w:t>
      </w:r>
      <w:r w:rsidR="00C90BEE" w:rsidRPr="00C90BEE">
        <w:t>49,7</w:t>
      </w:r>
      <w:r w:rsidRPr="00C90BEE">
        <w:t>%</w:t>
      </w:r>
      <w:r w:rsidR="00C90BEE" w:rsidRPr="00C90BEE">
        <w:t xml:space="preserve"> на общую сумму 15972,14 тыс. руб.</w:t>
      </w:r>
      <w:r w:rsidRPr="00C90BEE">
        <w:t xml:space="preserve">, </w:t>
      </w:r>
      <w:r w:rsidR="00A25AB1" w:rsidRPr="00C90BEE">
        <w:t>произведено финансирование аварийно-диспетчерской службы,</w:t>
      </w:r>
      <w:r w:rsidR="00C90BEE" w:rsidRPr="00C90BEE">
        <w:t xml:space="preserve"> содержания зданий и помещений</w:t>
      </w:r>
      <w:r w:rsidR="00A25AB1" w:rsidRPr="00C90BEE">
        <w:t>, оплаты труда и страховых взносов, контрактов на поставку газа, ГСМ;</w:t>
      </w:r>
    </w:p>
    <w:p w:rsidR="00AB7A5D" w:rsidRPr="009F7F51" w:rsidRDefault="00AB7A5D" w:rsidP="00AB7A5D">
      <w:pPr>
        <w:pStyle w:val="a3"/>
        <w:numPr>
          <w:ilvl w:val="0"/>
          <w:numId w:val="13"/>
        </w:numPr>
        <w:jc w:val="both"/>
      </w:pPr>
      <w:r w:rsidRPr="009F7F51">
        <w:t xml:space="preserve">МП «Повышение эффективности управления муниципальными финансами» исполнение </w:t>
      </w:r>
      <w:r w:rsidR="009F7F51" w:rsidRPr="009F7F51">
        <w:t>48,5</w:t>
      </w:r>
      <w:r w:rsidRPr="009F7F51">
        <w:t>%</w:t>
      </w:r>
      <w:r w:rsidR="009F7F51" w:rsidRPr="009F7F51">
        <w:t xml:space="preserve"> (36216,58 тыс. руб.)</w:t>
      </w:r>
      <w:r w:rsidRPr="009F7F51">
        <w:t xml:space="preserve">, </w:t>
      </w:r>
      <w:r w:rsidR="001D3736" w:rsidRPr="009F7F51">
        <w:t xml:space="preserve">произведено финансирование полномочий на выравнивание бюджетной обеспеченности, процентные </w:t>
      </w:r>
      <w:r w:rsidR="00924CAD" w:rsidRPr="009F7F51">
        <w:t>платежи по муниципальному долгу</w:t>
      </w:r>
      <w:r w:rsidR="001D3736" w:rsidRPr="009F7F51">
        <w:t>, дотации на выравни</w:t>
      </w:r>
      <w:r w:rsidR="009F7F51" w:rsidRPr="009F7F51">
        <w:t>вание</w:t>
      </w:r>
      <w:r w:rsidR="001D3736" w:rsidRPr="009F7F51">
        <w:t xml:space="preserve"> бюджетной обеспеченности поселений </w:t>
      </w:r>
      <w:r w:rsidR="00B06CDC" w:rsidRPr="009F7F51">
        <w:t>из бюджета Ахтубинс</w:t>
      </w:r>
      <w:r w:rsidR="001D3736" w:rsidRPr="009F7F51">
        <w:t>кого района</w:t>
      </w:r>
      <w:r w:rsidR="00B06CDC" w:rsidRPr="009F7F51">
        <w:t>, формирование бюджетной отчетности поселений, обеспечение функций финансового органа</w:t>
      </w:r>
      <w:r w:rsidR="002F0AA0">
        <w:t>;</w:t>
      </w:r>
    </w:p>
    <w:p w:rsidR="0048656F" w:rsidRPr="009F7F51" w:rsidRDefault="0048656F" w:rsidP="0048656F">
      <w:pPr>
        <w:pStyle w:val="a3"/>
        <w:numPr>
          <w:ilvl w:val="0"/>
          <w:numId w:val="13"/>
        </w:numPr>
        <w:jc w:val="both"/>
      </w:pPr>
      <w:r w:rsidRPr="009F7F51">
        <w:lastRenderedPageBreak/>
        <w:t xml:space="preserve">МП «Развитие культуры и сохранение культурного наследия Ахтубинского района» исполнение </w:t>
      </w:r>
      <w:r w:rsidR="009F7F51" w:rsidRPr="009F7F51">
        <w:t>48,0</w:t>
      </w:r>
      <w:r w:rsidRPr="009F7F51">
        <w:t>%</w:t>
      </w:r>
      <w:r w:rsidR="009F7F51" w:rsidRPr="009F7F51">
        <w:t xml:space="preserve"> (52000,69 тыс. руб.)</w:t>
      </w:r>
      <w:r w:rsidRPr="009F7F51">
        <w:t>, произведено финансирование деятельности организаций клубных формирований (народные промыслы), библиотек, дополнительного образования, выставочной деятельности и патриотического воспитания, кинообслуживания, обеспечения деятельности учреждений культуры и кинофикации</w:t>
      </w:r>
      <w:r w:rsidR="002F0AA0">
        <w:t>;</w:t>
      </w:r>
    </w:p>
    <w:p w:rsidR="0048656F" w:rsidRPr="008C451F" w:rsidRDefault="0048656F" w:rsidP="0048656F">
      <w:pPr>
        <w:pStyle w:val="a3"/>
        <w:numPr>
          <w:ilvl w:val="0"/>
          <w:numId w:val="13"/>
        </w:numPr>
        <w:jc w:val="both"/>
      </w:pPr>
      <w:r w:rsidRPr="008C451F">
        <w:t xml:space="preserve">МП «Реализация функций органов местного самоуправления муниципального образования «Ахтубинский район» исполнение </w:t>
      </w:r>
      <w:r w:rsidR="009F7F51" w:rsidRPr="008C451F">
        <w:t>36,0</w:t>
      </w:r>
      <w:r w:rsidRPr="008C451F">
        <w:t>%</w:t>
      </w:r>
      <w:r w:rsidR="008C451F" w:rsidRPr="008C451F">
        <w:t xml:space="preserve"> (14939,54 тыс. руб.)</w:t>
      </w:r>
      <w:r w:rsidRPr="008C451F">
        <w:t>,</w:t>
      </w:r>
      <w:r w:rsidR="008C451F" w:rsidRPr="008C451F">
        <w:t xml:space="preserve"> произведено</w:t>
      </w:r>
      <w:r w:rsidRPr="008C451F">
        <w:t xml:space="preserve"> финансирование деятельности администрат</w:t>
      </w:r>
      <w:r w:rsidR="009F7F51" w:rsidRPr="008C451F">
        <w:t>ивной комиссии</w:t>
      </w:r>
      <w:r w:rsidRPr="008C451F">
        <w:t>, деятельности комиссии по делам несов</w:t>
      </w:r>
      <w:r w:rsidR="008C451F" w:rsidRPr="008C451F">
        <w:t>ершеннолетних и защите их прав, доплаты к пенсии</w:t>
      </w:r>
      <w:r w:rsidRPr="008C451F">
        <w:t xml:space="preserve"> </w:t>
      </w:r>
      <w:r w:rsidR="008C451F" w:rsidRPr="008C451F">
        <w:t>(</w:t>
      </w:r>
      <w:r w:rsidRPr="008C451F">
        <w:t>124 человека</w:t>
      </w:r>
      <w:r w:rsidR="008C451F" w:rsidRPr="008C451F">
        <w:t>)</w:t>
      </w:r>
      <w:r w:rsidRPr="008C451F">
        <w:t xml:space="preserve">, </w:t>
      </w:r>
      <w:r w:rsidR="008C451F" w:rsidRPr="008C451F">
        <w:t xml:space="preserve">деятельности </w:t>
      </w:r>
      <w:r w:rsidRPr="008C451F">
        <w:t>администрации МО «Ахтубинский район» и заключенных контрактов</w:t>
      </w:r>
      <w:r w:rsidR="002F0AA0">
        <w:t>;</w:t>
      </w:r>
    </w:p>
    <w:p w:rsidR="00AD5148" w:rsidRPr="008C451F" w:rsidRDefault="0048656F" w:rsidP="007D12F1">
      <w:pPr>
        <w:pStyle w:val="a3"/>
        <w:numPr>
          <w:ilvl w:val="0"/>
          <w:numId w:val="13"/>
        </w:numPr>
        <w:jc w:val="both"/>
      </w:pPr>
      <w:r w:rsidRPr="008C451F">
        <w:t xml:space="preserve">МП «Молодежь Ахтубинского района» исполнение </w:t>
      </w:r>
      <w:r w:rsidR="008C451F" w:rsidRPr="008C451F">
        <w:t>35,5</w:t>
      </w:r>
      <w:r w:rsidRPr="008C451F">
        <w:t>%</w:t>
      </w:r>
      <w:r w:rsidR="008C451F" w:rsidRPr="008C451F">
        <w:t xml:space="preserve"> (2293,57 тыс. руб.)</w:t>
      </w:r>
      <w:r w:rsidRPr="008C451F">
        <w:t xml:space="preserve">, произведено финансирование </w:t>
      </w:r>
      <w:r w:rsidR="008C451F" w:rsidRPr="008C451F">
        <w:t>функционирования</w:t>
      </w:r>
      <w:r w:rsidRPr="008C451F">
        <w:t xml:space="preserve"> МКУ «Центр социальной поддержки семьи и молодежи»;</w:t>
      </w:r>
    </w:p>
    <w:p w:rsidR="00AD5148" w:rsidRPr="002205D5" w:rsidRDefault="00AD5148" w:rsidP="002205D5">
      <w:pPr>
        <w:pStyle w:val="a3"/>
        <w:numPr>
          <w:ilvl w:val="0"/>
          <w:numId w:val="13"/>
        </w:numPr>
        <w:jc w:val="both"/>
        <w:rPr>
          <w:color w:val="000000" w:themeColor="text1"/>
        </w:rPr>
      </w:pPr>
      <w:r w:rsidRPr="002205D5">
        <w:rPr>
          <w:color w:val="000000" w:themeColor="text1"/>
        </w:rPr>
        <w:t>Непрограммное направление деятельности реализация функций органов местного самоуправления администрации МО «Ахтубинский район»</w:t>
      </w:r>
      <w:r w:rsidR="008C451F" w:rsidRPr="002205D5">
        <w:rPr>
          <w:color w:val="000000" w:themeColor="text1"/>
        </w:rPr>
        <w:t xml:space="preserve"> </w:t>
      </w:r>
      <w:proofErr w:type="gramStart"/>
      <w:r w:rsidR="008C451F" w:rsidRPr="002205D5">
        <w:rPr>
          <w:color w:val="000000" w:themeColor="text1"/>
        </w:rPr>
        <w:t xml:space="preserve">исполнены на 48,2% </w:t>
      </w:r>
      <w:r w:rsidR="002205D5" w:rsidRPr="002205D5">
        <w:rPr>
          <w:color w:val="000000" w:themeColor="text1"/>
        </w:rPr>
        <w:t>произведено</w:t>
      </w:r>
      <w:proofErr w:type="gramEnd"/>
      <w:r w:rsidR="002205D5" w:rsidRPr="002205D5">
        <w:rPr>
          <w:color w:val="000000" w:themeColor="text1"/>
        </w:rPr>
        <w:t xml:space="preserve"> финансирование расходов на функционирование высшего должностного лица (713,6 тыс. руб.).</w:t>
      </w:r>
    </w:p>
    <w:p w:rsidR="008C451F" w:rsidRPr="008C451F" w:rsidRDefault="008C451F" w:rsidP="008C451F">
      <w:pPr>
        <w:pStyle w:val="a3"/>
        <w:jc w:val="both"/>
        <w:rPr>
          <w:highlight w:val="lightGray"/>
        </w:rPr>
      </w:pPr>
    </w:p>
    <w:p w:rsidR="00833068" w:rsidRPr="00735FB4" w:rsidRDefault="00833068" w:rsidP="00494D47">
      <w:pPr>
        <w:jc w:val="both"/>
        <w:rPr>
          <w:b/>
        </w:rPr>
      </w:pPr>
      <w:r w:rsidRPr="00735FB4">
        <w:rPr>
          <w:b/>
        </w:rPr>
        <w:t xml:space="preserve">Исполнение финансовых обязательств от </w:t>
      </w:r>
      <w:r w:rsidR="00AD5148" w:rsidRPr="00735FB4">
        <w:rPr>
          <w:b/>
        </w:rPr>
        <w:t>1</w:t>
      </w:r>
      <w:r w:rsidRPr="00735FB4">
        <w:rPr>
          <w:b/>
        </w:rPr>
        <w:t xml:space="preserve">% до </w:t>
      </w:r>
      <w:r w:rsidR="00AD5148" w:rsidRPr="00735FB4">
        <w:rPr>
          <w:b/>
        </w:rPr>
        <w:t>3</w:t>
      </w:r>
      <w:r w:rsidR="00D5466B" w:rsidRPr="00735FB4">
        <w:rPr>
          <w:b/>
        </w:rPr>
        <w:t>0</w:t>
      </w:r>
      <w:r w:rsidRPr="00735FB4">
        <w:rPr>
          <w:b/>
        </w:rPr>
        <w:t xml:space="preserve">% обеспечено по </w:t>
      </w:r>
      <w:r w:rsidR="00AD5148" w:rsidRPr="00735FB4">
        <w:rPr>
          <w:b/>
        </w:rPr>
        <w:t>4</w:t>
      </w:r>
      <w:r w:rsidRPr="00735FB4">
        <w:rPr>
          <w:b/>
        </w:rPr>
        <w:t xml:space="preserve"> МП</w:t>
      </w:r>
      <w:r w:rsidR="007D12F1" w:rsidRPr="00735FB4">
        <w:rPr>
          <w:b/>
        </w:rPr>
        <w:t>:</w:t>
      </w:r>
    </w:p>
    <w:p w:rsidR="008C451F" w:rsidRPr="008C451F" w:rsidRDefault="008C451F" w:rsidP="008C451F">
      <w:pPr>
        <w:pStyle w:val="a3"/>
        <w:numPr>
          <w:ilvl w:val="0"/>
          <w:numId w:val="13"/>
        </w:numPr>
        <w:jc w:val="both"/>
      </w:pPr>
      <w:r w:rsidRPr="008C451F">
        <w:t>МП «Охрана окружающей среды в МО «Ахтубинский район» исполнение 4,7 %, оплачены транспортные расходы по доставке и установке мусорных контейнеров на общую сумму 25,5 тыс. рублей;</w:t>
      </w:r>
    </w:p>
    <w:p w:rsidR="002F0AA0" w:rsidRPr="008C451F" w:rsidRDefault="008C451F" w:rsidP="002F0AA0">
      <w:pPr>
        <w:pStyle w:val="a3"/>
        <w:numPr>
          <w:ilvl w:val="0"/>
          <w:numId w:val="13"/>
        </w:numPr>
        <w:jc w:val="both"/>
      </w:pPr>
      <w:r w:rsidRPr="008C451F">
        <w:t xml:space="preserve">МП «Комплексное развитие дорожной инфраструктуры Ахтубинского района» исполнение 22,9% (18161,68 тыс. руб.), оплачен контракт по зимнему содержанию дорог в размере 4500,00 рублей, выполнены ремонтные работы дороги </w:t>
      </w:r>
      <w:proofErr w:type="gramStart"/>
      <w:r w:rsidRPr="008C451F">
        <w:t>в</w:t>
      </w:r>
      <w:proofErr w:type="gramEnd"/>
      <w:r w:rsidRPr="008C451F">
        <w:t xml:space="preserve"> </w:t>
      </w:r>
      <w:proofErr w:type="gramStart"/>
      <w:r w:rsidRPr="008C451F">
        <w:t>с</w:t>
      </w:r>
      <w:proofErr w:type="gramEnd"/>
      <w:r w:rsidRPr="008C451F">
        <w:t>. Успенка 3073,0 тыс. рублей, перечислены</w:t>
      </w:r>
      <w:r w:rsidR="002F0AA0">
        <w:t xml:space="preserve"> иные</w:t>
      </w:r>
      <w:r w:rsidRPr="008C451F">
        <w:t xml:space="preserve"> межбюджетные трансферты </w:t>
      </w:r>
      <w:r w:rsidR="002F0AA0">
        <w:t xml:space="preserve">на общую сумму 10587,95 тыс. руб. </w:t>
      </w:r>
      <w:r w:rsidRPr="008C451F">
        <w:t xml:space="preserve">МО </w:t>
      </w:r>
      <w:r w:rsidR="002F0AA0">
        <w:t>«Город</w:t>
      </w:r>
      <w:r w:rsidRPr="008C451F">
        <w:t xml:space="preserve"> Ахтубинск</w:t>
      </w:r>
      <w:r w:rsidR="002F0AA0">
        <w:t>»</w:t>
      </w:r>
      <w:r w:rsidRPr="008C451F">
        <w:t xml:space="preserve"> и МО «Поселок Нижний</w:t>
      </w:r>
      <w:r w:rsidR="002F0AA0" w:rsidRPr="002F0AA0">
        <w:t xml:space="preserve"> </w:t>
      </w:r>
      <w:r w:rsidR="002F0AA0" w:rsidRPr="008C451F">
        <w:t>Баскунчак»</w:t>
      </w:r>
      <w:r w:rsidR="002F0AA0">
        <w:t>;</w:t>
      </w:r>
    </w:p>
    <w:p w:rsidR="002F0AA0" w:rsidRPr="002F0AA0" w:rsidRDefault="002F0AA0" w:rsidP="002F0AA0">
      <w:pPr>
        <w:pStyle w:val="a3"/>
        <w:numPr>
          <w:ilvl w:val="0"/>
          <w:numId w:val="10"/>
        </w:numPr>
        <w:jc w:val="both"/>
      </w:pPr>
      <w:r w:rsidRPr="002F0AA0">
        <w:t>МП «Обеспечение безопасности жизнедеятельности населения Ахтубинского района» исполнение 1,61%, заключен контракт на общую сумму 10,08 тыс. рублей с ИП Архипова А.А. на изготовление табличек «Выход на лед запрещен», расходы на организацию мест массового купания запланировано на 3 кв. 2022 г.</w:t>
      </w:r>
    </w:p>
    <w:p w:rsidR="002F0AA0" w:rsidRPr="002F0AA0" w:rsidRDefault="002F0AA0" w:rsidP="002F0AA0">
      <w:pPr>
        <w:pStyle w:val="a3"/>
        <w:numPr>
          <w:ilvl w:val="0"/>
          <w:numId w:val="10"/>
        </w:numPr>
        <w:jc w:val="both"/>
      </w:pPr>
      <w:r w:rsidRPr="002F0AA0">
        <w:t>МП «Совершенствование системы управления муниципальной собственностью МО «Ахтубинский район» исполнение 21,5% (1044,03 тыс. руб.), произведены расходы на содержание аппарата УИЗО (заработная плата, страховые взносы), проведена оценка недвижимости, на мероприятия по землеустройству и землепользованию.</w:t>
      </w:r>
    </w:p>
    <w:p w:rsidR="00B10BF9" w:rsidRPr="00715898" w:rsidRDefault="00833068" w:rsidP="00B10BF9">
      <w:pPr>
        <w:jc w:val="both"/>
        <w:rPr>
          <w:b/>
        </w:rPr>
      </w:pPr>
      <w:r w:rsidRPr="00715898">
        <w:rPr>
          <w:b/>
        </w:rPr>
        <w:t>Финансирование не осуществл</w:t>
      </w:r>
      <w:r w:rsidR="00255D25" w:rsidRPr="00715898">
        <w:rPr>
          <w:b/>
        </w:rPr>
        <w:t>ялось по 3</w:t>
      </w:r>
      <w:r w:rsidRPr="00715898">
        <w:rPr>
          <w:b/>
        </w:rPr>
        <w:t xml:space="preserve"> </w:t>
      </w:r>
      <w:r w:rsidR="00EB477D" w:rsidRPr="00715898">
        <w:rPr>
          <w:b/>
        </w:rPr>
        <w:t>МП</w:t>
      </w:r>
      <w:r w:rsidR="00B10BF9" w:rsidRPr="00715898">
        <w:rPr>
          <w:b/>
        </w:rPr>
        <w:t>:</w:t>
      </w:r>
    </w:p>
    <w:p w:rsidR="00B10BF9" w:rsidRDefault="00E51F5D" w:rsidP="00715898">
      <w:pPr>
        <w:pStyle w:val="a3"/>
        <w:numPr>
          <w:ilvl w:val="0"/>
          <w:numId w:val="11"/>
        </w:numPr>
        <w:jc w:val="both"/>
      </w:pPr>
      <w:r>
        <w:t xml:space="preserve">МП </w:t>
      </w:r>
      <w:r w:rsidRPr="00D5466B">
        <w:t xml:space="preserve">«Развитие физической культуры и спорта </w:t>
      </w:r>
      <w:proofErr w:type="gramStart"/>
      <w:r w:rsidRPr="00D5466B">
        <w:t>в</w:t>
      </w:r>
      <w:proofErr w:type="gramEnd"/>
      <w:r w:rsidRPr="00D5466B">
        <w:t xml:space="preserve"> </w:t>
      </w:r>
      <w:proofErr w:type="gramStart"/>
      <w:r w:rsidRPr="00D5466B">
        <w:t>Ахтубинском</w:t>
      </w:r>
      <w:proofErr w:type="gramEnd"/>
      <w:r w:rsidRPr="00D5466B">
        <w:t xml:space="preserve"> районе»</w:t>
      </w:r>
      <w:r w:rsidRPr="00E51F5D">
        <w:t xml:space="preserve">, аукцион </w:t>
      </w:r>
      <w:r>
        <w:t>на покупку спортивного инвентаря</w:t>
      </w:r>
      <w:r w:rsidRPr="00E51F5D">
        <w:t xml:space="preserve"> размещен 28.02.2022 г</w:t>
      </w:r>
      <w:r w:rsidR="00EB477D" w:rsidRPr="00A60EC4">
        <w:t>.</w:t>
      </w:r>
      <w:r>
        <w:t xml:space="preserve"> на общую сумму 717,88 тыс</w:t>
      </w:r>
      <w:r w:rsidR="002F0AA0">
        <w:t>. рублей, оплата планируется в 3-ом квартале 2022 года</w:t>
      </w:r>
      <w:r w:rsidR="00715898">
        <w:t>;</w:t>
      </w:r>
    </w:p>
    <w:p w:rsidR="00B10BF9" w:rsidRDefault="00E51F5D" w:rsidP="00715898">
      <w:pPr>
        <w:pStyle w:val="a3"/>
        <w:numPr>
          <w:ilvl w:val="0"/>
          <w:numId w:val="11"/>
        </w:numPr>
        <w:jc w:val="both"/>
      </w:pPr>
      <w:r w:rsidRPr="00E51F5D">
        <w:t>МП «Развитие и поддержка малого и среднего предпринимательства МО «Ахтубинский район»</w:t>
      </w:r>
      <w:r>
        <w:t xml:space="preserve"> заяв</w:t>
      </w:r>
      <w:r w:rsidR="00B10BF9">
        <w:t>ки</w:t>
      </w:r>
      <w:r>
        <w:t xml:space="preserve"> </w:t>
      </w:r>
      <w:r w:rsidR="00B10BF9">
        <w:t>на</w:t>
      </w:r>
      <w:r w:rsidR="00B10BF9" w:rsidRPr="00B10BF9">
        <w:t xml:space="preserve"> субсидировани</w:t>
      </w:r>
      <w:r w:rsidR="00B10BF9">
        <w:t>е</w:t>
      </w:r>
      <w:r w:rsidR="00B10BF9" w:rsidRPr="00B10BF9">
        <w:t xml:space="preserve"> целевых расходов, произведенных субъектами малого и среднего предпринимательства, связанных с началом предпринимательской деятельности</w:t>
      </w:r>
      <w:r w:rsidR="00B10BF9">
        <w:t xml:space="preserve"> в 1</w:t>
      </w:r>
      <w:r w:rsidR="00735FB4">
        <w:t>-2</w:t>
      </w:r>
      <w:r w:rsidR="00B10BF9">
        <w:t xml:space="preserve"> кв. 2022 г. отсутствуют</w:t>
      </w:r>
      <w:r w:rsidR="00715898">
        <w:t>;</w:t>
      </w:r>
    </w:p>
    <w:p w:rsidR="00B10BF9" w:rsidRDefault="00B10BF9" w:rsidP="00715898">
      <w:pPr>
        <w:pStyle w:val="a3"/>
        <w:numPr>
          <w:ilvl w:val="0"/>
          <w:numId w:val="11"/>
        </w:numPr>
        <w:jc w:val="both"/>
      </w:pPr>
      <w:r w:rsidRPr="00B10BF9">
        <w:t>МП «Стимулирование развития жилищного строительства»</w:t>
      </w:r>
      <w:r>
        <w:t xml:space="preserve">, по данной программе планируется осуществить постановку на кадастровый учет границ населенных пунктов. В </w:t>
      </w:r>
      <w:r w:rsidR="00E964FA">
        <w:t xml:space="preserve">во </w:t>
      </w:r>
      <w:r w:rsidR="00735FB4">
        <w:t>2</w:t>
      </w:r>
      <w:r w:rsidR="00E964FA">
        <w:t>-ом</w:t>
      </w:r>
      <w:r>
        <w:t xml:space="preserve"> кв. 2022 г. генеральные планы населенных пунктов проходят </w:t>
      </w:r>
      <w:r>
        <w:lastRenderedPageBreak/>
        <w:t>доработку у проектировщиков. После утверждения генерального плана населенных пунктов будут осуществлены на расходы по п</w:t>
      </w:r>
      <w:r w:rsidR="00EB5C5F">
        <w:t>остановке на кадастровый учет</w:t>
      </w:r>
      <w:r w:rsidR="00735FB4">
        <w:t>.</w:t>
      </w:r>
    </w:p>
    <w:p w:rsidR="00EB5C5F" w:rsidRDefault="00EB5C5F" w:rsidP="00B10BF9">
      <w:pPr>
        <w:jc w:val="both"/>
      </w:pPr>
    </w:p>
    <w:p w:rsidR="00413861" w:rsidRPr="00833068" w:rsidRDefault="00B10BF9" w:rsidP="00B10BF9">
      <w:pPr>
        <w:jc w:val="both"/>
        <w:rPr>
          <w:b/>
          <w:lang w:eastAsia="ar-SA"/>
        </w:rPr>
      </w:pPr>
      <w:r w:rsidRPr="00B10BF9">
        <w:t xml:space="preserve"> </w:t>
      </w:r>
      <w:r w:rsidR="00413861" w:rsidRPr="00833068">
        <w:rPr>
          <w:b/>
          <w:lang w:eastAsia="ar-SA"/>
        </w:rPr>
        <w:t>Анализ исполнения бюджета по источникам</w:t>
      </w:r>
      <w:r w:rsidR="00243468" w:rsidRPr="00833068">
        <w:rPr>
          <w:b/>
          <w:lang w:eastAsia="ar-SA"/>
        </w:rPr>
        <w:t xml:space="preserve"> </w:t>
      </w:r>
      <w:r w:rsidR="00413861" w:rsidRPr="00833068">
        <w:rPr>
          <w:b/>
          <w:lang w:eastAsia="ar-SA"/>
        </w:rPr>
        <w:t>финансирования дефицита бюджета</w:t>
      </w:r>
      <w:r w:rsidR="00F66709">
        <w:rPr>
          <w:b/>
          <w:lang w:eastAsia="ar-SA"/>
        </w:rPr>
        <w:t>.</w:t>
      </w:r>
    </w:p>
    <w:p w:rsidR="00413861" w:rsidRPr="00833068" w:rsidRDefault="00413861" w:rsidP="00E02493">
      <w:pPr>
        <w:autoSpaceDE w:val="0"/>
        <w:autoSpaceDN w:val="0"/>
        <w:adjustRightInd w:val="0"/>
        <w:ind w:firstLine="567"/>
      </w:pPr>
    </w:p>
    <w:p w:rsidR="00413861" w:rsidRPr="00833068" w:rsidRDefault="00413861" w:rsidP="00E02493">
      <w:pPr>
        <w:autoSpaceDE w:val="0"/>
        <w:autoSpaceDN w:val="0"/>
        <w:adjustRightInd w:val="0"/>
        <w:ind w:firstLine="567"/>
        <w:jc w:val="both"/>
      </w:pPr>
      <w:r w:rsidRPr="00833068">
        <w:t xml:space="preserve">По результатам исполнения бюджета за </w:t>
      </w:r>
      <w:r w:rsidR="00735FB4">
        <w:t>1 полугодие</w:t>
      </w:r>
      <w:r w:rsidR="00494D47">
        <w:t xml:space="preserve"> </w:t>
      </w:r>
      <w:r w:rsidR="00087A25">
        <w:t>2022</w:t>
      </w:r>
      <w:r w:rsidRPr="00833068">
        <w:t xml:space="preserve"> года сложился </w:t>
      </w:r>
      <w:r w:rsidR="00087A25">
        <w:rPr>
          <w:b/>
          <w:i/>
        </w:rPr>
        <w:t>профицит</w:t>
      </w:r>
      <w:r w:rsidRPr="00833068">
        <w:t xml:space="preserve"> в размере </w:t>
      </w:r>
      <w:r w:rsidR="00735FB4">
        <w:t>9930,8</w:t>
      </w:r>
      <w:r w:rsidR="00087A25">
        <w:t xml:space="preserve"> </w:t>
      </w:r>
      <w:r w:rsidRPr="00833068">
        <w:t>тыс.</w:t>
      </w:r>
      <w:r w:rsidR="004A307E">
        <w:t xml:space="preserve"> </w:t>
      </w:r>
      <w:r w:rsidRPr="00833068">
        <w:t>руб.</w:t>
      </w:r>
    </w:p>
    <w:p w:rsidR="00413861" w:rsidRPr="00833068" w:rsidRDefault="00413861" w:rsidP="00E02493">
      <w:pPr>
        <w:autoSpaceDE w:val="0"/>
        <w:autoSpaceDN w:val="0"/>
        <w:adjustRightInd w:val="0"/>
        <w:ind w:firstLine="567"/>
        <w:jc w:val="both"/>
      </w:pPr>
      <w:r w:rsidRPr="00833068">
        <w:t xml:space="preserve">Исполнение </w:t>
      </w:r>
      <w:r w:rsidR="00C53438" w:rsidRPr="00833068">
        <w:t xml:space="preserve">бюджета по </w:t>
      </w:r>
      <w:r w:rsidRPr="00833068">
        <w:t>источник</w:t>
      </w:r>
      <w:r w:rsidR="00C53438" w:rsidRPr="00833068">
        <w:t>ам</w:t>
      </w:r>
      <w:r w:rsidRPr="00833068">
        <w:t xml:space="preserve"> </w:t>
      </w:r>
      <w:r w:rsidR="00377BF7" w:rsidRPr="00833068">
        <w:t xml:space="preserve">внутреннего </w:t>
      </w:r>
      <w:r w:rsidRPr="00833068">
        <w:t>финансирования дефицита пр</w:t>
      </w:r>
      <w:r w:rsidR="00377BF7" w:rsidRPr="00833068">
        <w:t>едставлено в</w:t>
      </w:r>
      <w:r w:rsidRPr="00833068">
        <w:t xml:space="preserve"> Таблице</w:t>
      </w:r>
      <w:r w:rsidR="00087A25">
        <w:t xml:space="preserve"> №7</w:t>
      </w:r>
      <w:r w:rsidRPr="00833068">
        <w:t xml:space="preserve">: </w:t>
      </w:r>
    </w:p>
    <w:p w:rsidR="00413861" w:rsidRDefault="00087A25" w:rsidP="00E02493">
      <w:pPr>
        <w:autoSpaceDE w:val="0"/>
        <w:autoSpaceDN w:val="0"/>
        <w:adjustRightInd w:val="0"/>
        <w:ind w:firstLine="567"/>
        <w:jc w:val="right"/>
      </w:pPr>
      <w:r>
        <w:t>Таблица № 7</w:t>
      </w:r>
      <w:r w:rsidR="001E3D5B" w:rsidRPr="00833068">
        <w:t xml:space="preserve"> (</w:t>
      </w:r>
      <w:r w:rsidR="00413861" w:rsidRPr="00833068">
        <w:t>тыс.</w:t>
      </w:r>
      <w:r w:rsidR="004A307E">
        <w:t xml:space="preserve"> </w:t>
      </w:r>
      <w:r w:rsidR="00413861" w:rsidRPr="00833068">
        <w:t>руб.</w:t>
      </w:r>
      <w:r w:rsidR="001E3D5B" w:rsidRPr="00833068">
        <w:t>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4538"/>
        <w:gridCol w:w="1431"/>
        <w:gridCol w:w="1781"/>
        <w:gridCol w:w="1606"/>
      </w:tblGrid>
      <w:tr w:rsidR="00D7180B" w:rsidRPr="00D7180B" w:rsidTr="00E964FA">
        <w:trPr>
          <w:trHeight w:val="76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 xml:space="preserve">Бюджет на 2022год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735FB4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 xml:space="preserve">Исполнение за 1 </w:t>
            </w:r>
            <w:r w:rsidR="00735FB4">
              <w:rPr>
                <w:color w:val="000000"/>
                <w:sz w:val="20"/>
                <w:szCs w:val="20"/>
              </w:rPr>
              <w:t>полугодие</w:t>
            </w:r>
            <w:r w:rsidRPr="00D7180B">
              <w:rPr>
                <w:color w:val="000000"/>
                <w:sz w:val="20"/>
                <w:szCs w:val="20"/>
              </w:rPr>
              <w:t xml:space="preserve"> 2022 года,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180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% исполнения бюджета</w:t>
            </w:r>
          </w:p>
        </w:tc>
      </w:tr>
      <w:tr w:rsidR="00D7180B" w:rsidRPr="00D7180B" w:rsidTr="00E964FA">
        <w:trPr>
          <w:trHeight w:val="72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-55,37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735F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735FB4">
              <w:rPr>
                <w:b/>
                <w:bCs/>
                <w:color w:val="000000"/>
                <w:sz w:val="20"/>
                <w:szCs w:val="20"/>
              </w:rPr>
              <w:t>9930,80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7180B" w:rsidRPr="00D7180B" w:rsidTr="00E964FA">
        <w:trPr>
          <w:trHeight w:val="34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организаций: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-4 161,23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-4 161,23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7180B" w:rsidRPr="00D7180B" w:rsidTr="00E964FA">
        <w:trPr>
          <w:trHeight w:val="34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21 538,77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80B" w:rsidRPr="00D7180B" w:rsidTr="00E964FA">
        <w:trPr>
          <w:trHeight w:val="34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 xml:space="preserve">Погашение кредитов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4 161,23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735FB4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16,</w:t>
            </w:r>
            <w:r w:rsidR="00735FB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7180B" w:rsidRPr="00D7180B" w:rsidTr="00E964FA">
        <w:trPr>
          <w:trHeight w:val="34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-1 521,00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80B" w:rsidRPr="00D7180B" w:rsidTr="00E964FA">
        <w:trPr>
          <w:trHeight w:val="34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80B" w:rsidRPr="00D7180B" w:rsidTr="00E964FA">
        <w:trPr>
          <w:trHeight w:val="34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 xml:space="preserve">Погашение бюджетных кредитов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color w:val="000000"/>
                <w:sz w:val="20"/>
                <w:szCs w:val="20"/>
              </w:rPr>
            </w:pPr>
            <w:r w:rsidRPr="00D718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80B" w:rsidRPr="00D7180B" w:rsidTr="00E964FA">
        <w:trPr>
          <w:trHeight w:val="6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5 380,86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735F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735FB4">
              <w:rPr>
                <w:b/>
                <w:bCs/>
                <w:color w:val="000000"/>
                <w:sz w:val="20"/>
                <w:szCs w:val="20"/>
              </w:rPr>
              <w:t>5769,57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7180B" w:rsidRPr="00D7180B" w:rsidTr="00E964FA">
        <w:trPr>
          <w:trHeight w:val="34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0B" w:rsidRPr="00D7180B" w:rsidRDefault="00D7180B" w:rsidP="00D7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8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437001" w:rsidRDefault="00437001" w:rsidP="008D6AE5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891BCA" w:rsidRPr="00AD5B1B" w:rsidRDefault="008D6AE5" w:rsidP="008D6AE5">
      <w:pPr>
        <w:tabs>
          <w:tab w:val="left" w:pos="567"/>
        </w:tabs>
        <w:jc w:val="center"/>
        <w:rPr>
          <w:b/>
          <w:color w:val="000000"/>
        </w:rPr>
      </w:pPr>
      <w:r w:rsidRPr="00AD5B1B">
        <w:rPr>
          <w:b/>
          <w:color w:val="000000"/>
        </w:rPr>
        <w:t>Выводы:</w:t>
      </w:r>
    </w:p>
    <w:p w:rsidR="001761E4" w:rsidRPr="001D6554" w:rsidRDefault="001761E4" w:rsidP="001D6554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1D6554">
        <w:t>Отчет об исполнении</w:t>
      </w:r>
      <w:r w:rsidR="00243468" w:rsidRPr="001D6554">
        <w:t xml:space="preserve"> </w:t>
      </w:r>
      <w:r w:rsidRPr="001D6554">
        <w:t>бюджета муниципального образования «Ахтубинский</w:t>
      </w:r>
      <w:r w:rsidR="00A55DAA" w:rsidRPr="001D6554">
        <w:t xml:space="preserve"> район»</w:t>
      </w:r>
      <w:r w:rsidR="00243468" w:rsidRPr="001D6554">
        <w:t xml:space="preserve"> </w:t>
      </w:r>
      <w:r w:rsidR="00437001" w:rsidRPr="001D6554">
        <w:t xml:space="preserve">за </w:t>
      </w:r>
      <w:r w:rsidR="00735FB4">
        <w:t>1 полугодие</w:t>
      </w:r>
      <w:r w:rsidR="00D7180B">
        <w:t xml:space="preserve"> 2022</w:t>
      </w:r>
      <w:r w:rsidRPr="001D6554">
        <w:t xml:space="preserve"> года, утвержденный</w:t>
      </w:r>
      <w:r w:rsidR="00243468" w:rsidRPr="001D6554">
        <w:t xml:space="preserve"> </w:t>
      </w:r>
      <w:r w:rsidR="00834EEC" w:rsidRPr="001D6554">
        <w:t>П</w:t>
      </w:r>
      <w:r w:rsidRPr="001D6554">
        <w:t xml:space="preserve">остановлением администрации МО «Ахтубинский район» </w:t>
      </w:r>
      <w:r w:rsidR="00735FB4">
        <w:t>29.07</w:t>
      </w:r>
      <w:r w:rsidR="00D7180B">
        <w:t>.2022</w:t>
      </w:r>
      <w:r w:rsidR="00A55DAA" w:rsidRPr="001D6554">
        <w:t xml:space="preserve"> г. №</w:t>
      </w:r>
      <w:r w:rsidR="00735FB4">
        <w:t>414</w:t>
      </w:r>
      <w:r w:rsidR="00243468" w:rsidRPr="001D6554">
        <w:t xml:space="preserve"> </w:t>
      </w:r>
      <w:r w:rsidR="00A55DAA" w:rsidRPr="001D6554">
        <w:t>поступил в Контрольно-счетную палату МО «Ахтубинский</w:t>
      </w:r>
      <w:r w:rsidR="00243468" w:rsidRPr="001D6554">
        <w:t xml:space="preserve"> </w:t>
      </w:r>
      <w:r w:rsidR="001A768F" w:rsidRPr="001D6554">
        <w:t xml:space="preserve">район - </w:t>
      </w:r>
      <w:r w:rsidR="00735FB4">
        <w:t>02</w:t>
      </w:r>
      <w:r w:rsidR="001A768F" w:rsidRPr="001D6554">
        <w:t>.</w:t>
      </w:r>
      <w:r w:rsidR="00735FB4">
        <w:t>08</w:t>
      </w:r>
      <w:r w:rsidR="00A55DAA" w:rsidRPr="001D6554">
        <w:t>.202</w:t>
      </w:r>
      <w:r w:rsidR="00834EEC" w:rsidRPr="001D6554">
        <w:t>1</w:t>
      </w:r>
      <w:r w:rsidR="00A55DAA" w:rsidRPr="001D6554">
        <w:t xml:space="preserve"> года, своевременно</w:t>
      </w:r>
      <w:r w:rsidRPr="001D6554">
        <w:t xml:space="preserve">. </w:t>
      </w:r>
    </w:p>
    <w:p w:rsidR="00D7180B" w:rsidRDefault="00243468" w:rsidP="00D7180B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AD5B1B">
        <w:t xml:space="preserve"> </w:t>
      </w:r>
      <w:r w:rsidR="00437001" w:rsidRPr="00AD5B1B">
        <w:t xml:space="preserve">За </w:t>
      </w:r>
      <w:r w:rsidR="00735FB4">
        <w:t>1 полугодие</w:t>
      </w:r>
      <w:r w:rsidR="001D6554">
        <w:t xml:space="preserve"> </w:t>
      </w:r>
      <w:r w:rsidR="00D7180B">
        <w:t>2022</w:t>
      </w:r>
      <w:r w:rsidR="00A55DAA" w:rsidRPr="00AD5B1B">
        <w:t xml:space="preserve"> года в доходную часть бюджета поступило </w:t>
      </w:r>
      <w:r w:rsidR="00735FB4">
        <w:t>757784,53</w:t>
      </w:r>
      <w:r w:rsidR="004A307E">
        <w:t xml:space="preserve"> тыс. руб.</w:t>
      </w:r>
      <w:r w:rsidR="00AD5B1B">
        <w:t xml:space="preserve"> или </w:t>
      </w:r>
      <w:r w:rsidR="00735FB4">
        <w:t>52</w:t>
      </w:r>
      <w:r w:rsidR="00D7180B">
        <w:t>,0</w:t>
      </w:r>
      <w:r w:rsidR="00A55DAA" w:rsidRPr="00AD5B1B">
        <w:t>% к утвержденному прогнозу (</w:t>
      </w:r>
      <w:r w:rsidR="00D7180B">
        <w:t>1456389,44222 тыс. руб.):</w:t>
      </w:r>
    </w:p>
    <w:p w:rsidR="00D7180B" w:rsidRDefault="00D7180B" w:rsidP="00D7180B">
      <w:pPr>
        <w:pStyle w:val="a3"/>
        <w:tabs>
          <w:tab w:val="left" w:pos="284"/>
          <w:tab w:val="left" w:pos="567"/>
        </w:tabs>
        <w:suppressAutoHyphens/>
        <w:ind w:left="0"/>
        <w:jc w:val="both"/>
      </w:pPr>
      <w:r>
        <w:t xml:space="preserve">- налоговые доходы исполнены на </w:t>
      </w:r>
      <w:r w:rsidR="00735FB4">
        <w:t>45,7</w:t>
      </w:r>
      <w:r>
        <w:t>% (</w:t>
      </w:r>
      <w:r w:rsidR="00735FB4">
        <w:t>176076,0</w:t>
      </w:r>
      <w:r>
        <w:t xml:space="preserve"> тыс. руб.)</w:t>
      </w:r>
    </w:p>
    <w:p w:rsidR="008D6AE5" w:rsidRPr="00AD5B1B" w:rsidRDefault="008D6AE5" w:rsidP="00D7180B">
      <w:pPr>
        <w:pStyle w:val="a3"/>
        <w:tabs>
          <w:tab w:val="left" w:pos="284"/>
          <w:tab w:val="left" w:pos="567"/>
        </w:tabs>
        <w:suppressAutoHyphens/>
        <w:ind w:left="0"/>
        <w:jc w:val="both"/>
      </w:pPr>
      <w:r w:rsidRPr="00AD5B1B">
        <w:t xml:space="preserve">- неналоговые доходы исполнены на </w:t>
      </w:r>
      <w:r w:rsidR="00735FB4">
        <w:t>43,7</w:t>
      </w:r>
      <w:r w:rsidRPr="00AD5B1B">
        <w:t>%</w:t>
      </w:r>
      <w:r w:rsidR="00D7180B">
        <w:t xml:space="preserve"> (</w:t>
      </w:r>
      <w:r w:rsidR="00735FB4">
        <w:t>44312,06</w:t>
      </w:r>
      <w:r w:rsidR="00D7180B">
        <w:t xml:space="preserve"> тыс. руб.)</w:t>
      </w:r>
      <w:r w:rsidRPr="00AD5B1B">
        <w:t>;</w:t>
      </w:r>
    </w:p>
    <w:p w:rsidR="008D6AE5" w:rsidRPr="00AD5B1B" w:rsidRDefault="008D6AE5" w:rsidP="00D7180B">
      <w:pPr>
        <w:tabs>
          <w:tab w:val="left" w:pos="284"/>
        </w:tabs>
        <w:jc w:val="both"/>
      </w:pPr>
      <w:r w:rsidRPr="00AD5B1B">
        <w:t xml:space="preserve">- безвозмездные поступления исполнены на </w:t>
      </w:r>
      <w:r w:rsidR="003319FD">
        <w:t>55,4</w:t>
      </w:r>
      <w:r w:rsidR="00D7180B">
        <w:t>% (</w:t>
      </w:r>
      <w:r w:rsidR="003319FD">
        <w:t>537396,48</w:t>
      </w:r>
      <w:r w:rsidR="00D7180B">
        <w:t xml:space="preserve"> тыс. руб.).</w:t>
      </w:r>
    </w:p>
    <w:p w:rsidR="00D7180B" w:rsidRDefault="006962AE" w:rsidP="00D7180B">
      <w:pPr>
        <w:pStyle w:val="a3"/>
        <w:shd w:val="clear" w:color="auto" w:fill="FFFFFF"/>
        <w:tabs>
          <w:tab w:val="left" w:pos="284"/>
        </w:tabs>
        <w:ind w:left="0"/>
        <w:jc w:val="both"/>
      </w:pPr>
      <w:r>
        <w:t xml:space="preserve">Темп </w:t>
      </w:r>
      <w:r w:rsidR="001A768F">
        <w:t>роста</w:t>
      </w:r>
      <w:r w:rsidR="001E3D5B" w:rsidRPr="00AD5B1B">
        <w:t xml:space="preserve"> общего объема доходов относи</w:t>
      </w:r>
      <w:r w:rsidR="00D7180B">
        <w:t>тельно аналогичного периода 2021</w:t>
      </w:r>
      <w:r>
        <w:t xml:space="preserve"> года составляе</w:t>
      </w:r>
      <w:r w:rsidR="001E3D5B" w:rsidRPr="00AD5B1B">
        <w:t xml:space="preserve">т </w:t>
      </w:r>
      <w:r w:rsidR="003319FD">
        <w:t>102,25</w:t>
      </w:r>
      <w:r w:rsidR="00D7180B">
        <w:t xml:space="preserve">% (больше на </w:t>
      </w:r>
      <w:r w:rsidR="003319FD">
        <w:t>16664,7</w:t>
      </w:r>
      <w:r w:rsidR="00D7180B">
        <w:t xml:space="preserve"> тыс. руб.).</w:t>
      </w:r>
      <w:r w:rsidR="00D7180B" w:rsidRPr="00D7180B">
        <w:t xml:space="preserve"> </w:t>
      </w:r>
    </w:p>
    <w:p w:rsidR="00200175" w:rsidRPr="00AD5B1B" w:rsidRDefault="008D6AE5" w:rsidP="00D7180B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AD5B1B">
        <w:t xml:space="preserve">Расходы бюджета МО «Ахтубинский район» </w:t>
      </w:r>
      <w:r w:rsidR="001E3D5B" w:rsidRPr="00AD5B1B">
        <w:t xml:space="preserve">за </w:t>
      </w:r>
      <w:r w:rsidR="003319FD">
        <w:t>1 полугодие</w:t>
      </w:r>
      <w:r w:rsidR="00243468" w:rsidRPr="00AD5B1B">
        <w:t xml:space="preserve"> </w:t>
      </w:r>
      <w:r w:rsidR="00D7180B">
        <w:t>2022</w:t>
      </w:r>
      <w:r w:rsidR="001E3D5B" w:rsidRPr="00AD5B1B">
        <w:t xml:space="preserve"> года исполнены в сумме </w:t>
      </w:r>
      <w:r w:rsidR="003319FD">
        <w:t>747853,73</w:t>
      </w:r>
      <w:r w:rsidR="001E3D5B" w:rsidRPr="00AD5B1B">
        <w:t xml:space="preserve"> тыс.</w:t>
      </w:r>
      <w:r w:rsidR="004A307E">
        <w:t xml:space="preserve"> </w:t>
      </w:r>
      <w:r w:rsidR="001E3D5B" w:rsidRPr="00AD5B1B">
        <w:t>руб., или</w:t>
      </w:r>
      <w:r w:rsidR="00243468" w:rsidRPr="00AD5B1B">
        <w:t xml:space="preserve"> </w:t>
      </w:r>
      <w:r w:rsidR="003319FD">
        <w:t>51,2</w:t>
      </w:r>
      <w:r w:rsidR="001E3D5B" w:rsidRPr="00AD5B1B">
        <w:t>% от назначений</w:t>
      </w:r>
      <w:r w:rsidR="00BD49F4">
        <w:t xml:space="preserve"> в сводной бюджетной росписи на </w:t>
      </w:r>
      <w:r w:rsidR="003319FD">
        <w:t>30.06</w:t>
      </w:r>
      <w:r w:rsidR="00D7180B">
        <w:t>.2022</w:t>
      </w:r>
      <w:r w:rsidR="00BD49F4">
        <w:t>г.</w:t>
      </w:r>
      <w:r w:rsidR="00D7180B">
        <w:t xml:space="preserve"> (</w:t>
      </w:r>
      <w:r w:rsidR="003319FD">
        <w:t>1459782,56</w:t>
      </w:r>
      <w:r w:rsidR="00D7180B">
        <w:t xml:space="preserve"> тыс. руб.)</w:t>
      </w:r>
      <w:r w:rsidR="001E3D5B" w:rsidRPr="00AD5B1B">
        <w:t xml:space="preserve"> </w:t>
      </w:r>
      <w:r w:rsidR="00EB5C5F">
        <w:t>Снижение</w:t>
      </w:r>
      <w:r w:rsidR="001E3D5B" w:rsidRPr="00AD5B1B">
        <w:t xml:space="preserve"> общего объема расх</w:t>
      </w:r>
      <w:r w:rsidR="00966AC6">
        <w:t>одов к аналогичному периоду 2021</w:t>
      </w:r>
      <w:r w:rsidR="001E3D5B" w:rsidRPr="00AD5B1B">
        <w:t xml:space="preserve"> года</w:t>
      </w:r>
      <w:r w:rsidR="00EB5C5F">
        <w:t xml:space="preserve"> составляет</w:t>
      </w:r>
      <w:r w:rsidR="001E3D5B" w:rsidRPr="00AD5B1B">
        <w:t xml:space="preserve"> </w:t>
      </w:r>
      <w:r w:rsidR="00EB5C5F">
        <w:t>91,05</w:t>
      </w:r>
      <w:r w:rsidR="001E3D5B" w:rsidRPr="00AD5B1B">
        <w:t>% (</w:t>
      </w:r>
      <w:r w:rsidR="00EB5C5F">
        <w:t>меньше</w:t>
      </w:r>
      <w:r w:rsidR="001A768F">
        <w:t xml:space="preserve"> на </w:t>
      </w:r>
      <w:r w:rsidR="00EB5C5F">
        <w:t>73533,20</w:t>
      </w:r>
      <w:r w:rsidR="001E3D5B" w:rsidRPr="00AD5B1B">
        <w:t xml:space="preserve"> тыс.</w:t>
      </w:r>
      <w:r w:rsidR="004A307E">
        <w:t xml:space="preserve"> </w:t>
      </w:r>
      <w:r w:rsidR="001E3D5B" w:rsidRPr="00AD5B1B">
        <w:t>руб.)</w:t>
      </w:r>
      <w:r w:rsidR="0017669A" w:rsidRPr="00AD5B1B">
        <w:t>.</w:t>
      </w:r>
    </w:p>
    <w:p w:rsidR="00200175" w:rsidRDefault="008D6AE5" w:rsidP="00966AC6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AD5B1B">
        <w:t>По результату исполнения бюджета за</w:t>
      </w:r>
      <w:r w:rsidR="00243468" w:rsidRPr="00AD5B1B">
        <w:t xml:space="preserve"> </w:t>
      </w:r>
      <w:r w:rsidR="00EB5C5F">
        <w:t>1 полугодие</w:t>
      </w:r>
      <w:r w:rsidR="00243468" w:rsidRPr="00AD5B1B">
        <w:t xml:space="preserve"> </w:t>
      </w:r>
      <w:r w:rsidR="00966AC6">
        <w:t>2022</w:t>
      </w:r>
      <w:r w:rsidRPr="00AD5B1B">
        <w:t xml:space="preserve"> года сложился </w:t>
      </w:r>
      <w:r w:rsidR="00966AC6">
        <w:t>профицит</w:t>
      </w:r>
      <w:r w:rsidR="00243468" w:rsidRPr="00AD5B1B">
        <w:t xml:space="preserve"> </w:t>
      </w:r>
      <w:r w:rsidRPr="00AD5B1B">
        <w:t xml:space="preserve">бюджета в размере </w:t>
      </w:r>
      <w:r w:rsidR="00EB5C5F">
        <w:t>9930,8</w:t>
      </w:r>
      <w:r w:rsidR="00966AC6">
        <w:t xml:space="preserve"> </w:t>
      </w:r>
      <w:r w:rsidR="00966AC6" w:rsidRPr="00833068">
        <w:t>тыс.</w:t>
      </w:r>
      <w:r w:rsidR="00966AC6">
        <w:t xml:space="preserve"> </w:t>
      </w:r>
      <w:r w:rsidR="00966AC6" w:rsidRPr="00833068">
        <w:t>руб</w:t>
      </w:r>
      <w:r w:rsidRPr="00AD5B1B">
        <w:t>.</w:t>
      </w:r>
      <w:r w:rsidRPr="006962AE">
        <w:t xml:space="preserve"> </w:t>
      </w:r>
    </w:p>
    <w:p w:rsidR="00966AC6" w:rsidRDefault="00966AC6" w:rsidP="00966AC6">
      <w:pPr>
        <w:tabs>
          <w:tab w:val="left" w:pos="284"/>
          <w:tab w:val="left" w:pos="567"/>
        </w:tabs>
        <w:suppressAutoHyphens/>
        <w:jc w:val="both"/>
      </w:pPr>
    </w:p>
    <w:p w:rsidR="00966AC6" w:rsidRPr="00966AC6" w:rsidRDefault="00966AC6" w:rsidP="00966AC6">
      <w:pPr>
        <w:tabs>
          <w:tab w:val="left" w:pos="284"/>
          <w:tab w:val="left" w:pos="567"/>
        </w:tabs>
        <w:suppressAutoHyphens/>
        <w:jc w:val="both"/>
      </w:pPr>
    </w:p>
    <w:p w:rsidR="0017669A" w:rsidRPr="00A55DAA" w:rsidRDefault="00B35424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Председатель</w:t>
      </w:r>
      <w:r w:rsidR="00243468">
        <w:rPr>
          <w:sz w:val="22"/>
          <w:szCs w:val="22"/>
        </w:rPr>
        <w:t xml:space="preserve"> </w:t>
      </w:r>
    </w:p>
    <w:p w:rsidR="0017669A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Контрольно-счетной палаты</w:t>
      </w:r>
    </w:p>
    <w:p w:rsidR="00B35424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МО «Ахтубинский район»</w:t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A55DAA">
        <w:rPr>
          <w:sz w:val="22"/>
          <w:szCs w:val="22"/>
        </w:rPr>
        <w:t>Ю.Ю. Журавлева</w:t>
      </w:r>
    </w:p>
    <w:sectPr w:rsidR="00B35424" w:rsidRPr="00A55DAA" w:rsidSect="005C211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C" w:rsidRDefault="005C468C" w:rsidP="009164DD">
      <w:r>
        <w:separator/>
      </w:r>
    </w:p>
  </w:endnote>
  <w:endnote w:type="continuationSeparator" w:id="0">
    <w:p w:rsidR="005C468C" w:rsidRDefault="005C468C" w:rsidP="009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C" w:rsidRDefault="005C468C" w:rsidP="009164DD">
      <w:r>
        <w:separator/>
      </w:r>
    </w:p>
  </w:footnote>
  <w:footnote w:type="continuationSeparator" w:id="0">
    <w:p w:rsidR="005C468C" w:rsidRDefault="005C468C" w:rsidP="0091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2882"/>
      <w:docPartObj>
        <w:docPartGallery w:val="Page Numbers (Top of Page)"/>
        <w:docPartUnique/>
      </w:docPartObj>
    </w:sdtPr>
    <w:sdtContent>
      <w:p w:rsidR="00823D34" w:rsidRDefault="00823D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139">
          <w:rPr>
            <w:noProof/>
          </w:rPr>
          <w:t>10</w:t>
        </w:r>
        <w:r>
          <w:fldChar w:fldCharType="end"/>
        </w:r>
      </w:p>
    </w:sdtContent>
  </w:sdt>
  <w:p w:rsidR="00823D34" w:rsidRDefault="00823D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26A"/>
    <w:multiLevelType w:val="hybridMultilevel"/>
    <w:tmpl w:val="52F60276"/>
    <w:lvl w:ilvl="0" w:tplc="EA485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7D3"/>
    <w:multiLevelType w:val="hybridMultilevel"/>
    <w:tmpl w:val="CCD6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3859"/>
    <w:multiLevelType w:val="hybridMultilevel"/>
    <w:tmpl w:val="4BF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1F90"/>
    <w:multiLevelType w:val="multilevel"/>
    <w:tmpl w:val="FFCAA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4">
    <w:nsid w:val="37AF7B5A"/>
    <w:multiLevelType w:val="hybridMultilevel"/>
    <w:tmpl w:val="ED4AE5CE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36DC"/>
    <w:multiLevelType w:val="hybridMultilevel"/>
    <w:tmpl w:val="BD5C2556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12CA3"/>
    <w:multiLevelType w:val="hybridMultilevel"/>
    <w:tmpl w:val="A6F81C32"/>
    <w:lvl w:ilvl="0" w:tplc="6094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55BFB"/>
    <w:multiLevelType w:val="hybridMultilevel"/>
    <w:tmpl w:val="F17CE912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3764"/>
    <w:multiLevelType w:val="hybridMultilevel"/>
    <w:tmpl w:val="6D56D602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D4FA4"/>
    <w:multiLevelType w:val="hybridMultilevel"/>
    <w:tmpl w:val="41C0C222"/>
    <w:lvl w:ilvl="0" w:tplc="4DB8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A2310"/>
    <w:multiLevelType w:val="hybridMultilevel"/>
    <w:tmpl w:val="7DFA7068"/>
    <w:lvl w:ilvl="0" w:tplc="CE2033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97D02A6"/>
    <w:multiLevelType w:val="hybridMultilevel"/>
    <w:tmpl w:val="786C58D8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36E2E"/>
    <w:multiLevelType w:val="hybridMultilevel"/>
    <w:tmpl w:val="237A5FF2"/>
    <w:lvl w:ilvl="0" w:tplc="50926B7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53F8D"/>
    <w:multiLevelType w:val="hybridMultilevel"/>
    <w:tmpl w:val="F7EEF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049AB"/>
    <w:rsid w:val="000051AB"/>
    <w:rsid w:val="00005CAC"/>
    <w:rsid w:val="00013A82"/>
    <w:rsid w:val="000153C9"/>
    <w:rsid w:val="000229FF"/>
    <w:rsid w:val="00030B60"/>
    <w:rsid w:val="00031ECB"/>
    <w:rsid w:val="00034342"/>
    <w:rsid w:val="0005017B"/>
    <w:rsid w:val="00050650"/>
    <w:rsid w:val="00052509"/>
    <w:rsid w:val="00057892"/>
    <w:rsid w:val="00064DC9"/>
    <w:rsid w:val="000667F0"/>
    <w:rsid w:val="00072EA5"/>
    <w:rsid w:val="00077D6A"/>
    <w:rsid w:val="00087A25"/>
    <w:rsid w:val="000917E8"/>
    <w:rsid w:val="00092577"/>
    <w:rsid w:val="00096640"/>
    <w:rsid w:val="000B4721"/>
    <w:rsid w:val="000B7709"/>
    <w:rsid w:val="000C7734"/>
    <w:rsid w:val="000D180C"/>
    <w:rsid w:val="000D655E"/>
    <w:rsid w:val="00115F17"/>
    <w:rsid w:val="00120EEB"/>
    <w:rsid w:val="001243DC"/>
    <w:rsid w:val="00124877"/>
    <w:rsid w:val="00132A97"/>
    <w:rsid w:val="00147CB5"/>
    <w:rsid w:val="00150D10"/>
    <w:rsid w:val="00151250"/>
    <w:rsid w:val="00155CFB"/>
    <w:rsid w:val="00164275"/>
    <w:rsid w:val="001709A6"/>
    <w:rsid w:val="001723D1"/>
    <w:rsid w:val="00173D2E"/>
    <w:rsid w:val="001761E4"/>
    <w:rsid w:val="0017669A"/>
    <w:rsid w:val="00186666"/>
    <w:rsid w:val="001868C3"/>
    <w:rsid w:val="001918AC"/>
    <w:rsid w:val="00195F1A"/>
    <w:rsid w:val="001A095B"/>
    <w:rsid w:val="001A21AC"/>
    <w:rsid w:val="001A2DEF"/>
    <w:rsid w:val="001A51CF"/>
    <w:rsid w:val="001A768F"/>
    <w:rsid w:val="001B7203"/>
    <w:rsid w:val="001C0076"/>
    <w:rsid w:val="001C19C5"/>
    <w:rsid w:val="001D310B"/>
    <w:rsid w:val="001D3736"/>
    <w:rsid w:val="001D3790"/>
    <w:rsid w:val="001D5988"/>
    <w:rsid w:val="001D6554"/>
    <w:rsid w:val="001D6D45"/>
    <w:rsid w:val="001E3D5B"/>
    <w:rsid w:val="001E69AF"/>
    <w:rsid w:val="00200175"/>
    <w:rsid w:val="00203B5D"/>
    <w:rsid w:val="00203D06"/>
    <w:rsid w:val="0021599D"/>
    <w:rsid w:val="002205D5"/>
    <w:rsid w:val="002213FE"/>
    <w:rsid w:val="0022215C"/>
    <w:rsid w:val="00224396"/>
    <w:rsid w:val="00226DE3"/>
    <w:rsid w:val="002273CB"/>
    <w:rsid w:val="00230357"/>
    <w:rsid w:val="00230AC9"/>
    <w:rsid w:val="002402B7"/>
    <w:rsid w:val="00241228"/>
    <w:rsid w:val="00243468"/>
    <w:rsid w:val="00252598"/>
    <w:rsid w:val="00254DC6"/>
    <w:rsid w:val="00255CBE"/>
    <w:rsid w:val="00255D25"/>
    <w:rsid w:val="002613BD"/>
    <w:rsid w:val="00280864"/>
    <w:rsid w:val="00282993"/>
    <w:rsid w:val="00286A37"/>
    <w:rsid w:val="00286CCE"/>
    <w:rsid w:val="00290D4C"/>
    <w:rsid w:val="002974F3"/>
    <w:rsid w:val="002B5AB1"/>
    <w:rsid w:val="002C3094"/>
    <w:rsid w:val="002C4D43"/>
    <w:rsid w:val="002D670E"/>
    <w:rsid w:val="002F0AA0"/>
    <w:rsid w:val="002F70CF"/>
    <w:rsid w:val="00301743"/>
    <w:rsid w:val="00306B9E"/>
    <w:rsid w:val="003134DE"/>
    <w:rsid w:val="00317904"/>
    <w:rsid w:val="00320527"/>
    <w:rsid w:val="003319FD"/>
    <w:rsid w:val="00336F7B"/>
    <w:rsid w:val="00347948"/>
    <w:rsid w:val="00354C4E"/>
    <w:rsid w:val="00361843"/>
    <w:rsid w:val="00363139"/>
    <w:rsid w:val="00366089"/>
    <w:rsid w:val="00373D34"/>
    <w:rsid w:val="00377BF7"/>
    <w:rsid w:val="00380781"/>
    <w:rsid w:val="003B4189"/>
    <w:rsid w:val="003B47BA"/>
    <w:rsid w:val="003C1F0E"/>
    <w:rsid w:val="003C5567"/>
    <w:rsid w:val="003C5918"/>
    <w:rsid w:val="003C5A7C"/>
    <w:rsid w:val="003D4D6F"/>
    <w:rsid w:val="003F1E26"/>
    <w:rsid w:val="00405E11"/>
    <w:rsid w:val="004112E8"/>
    <w:rsid w:val="00413861"/>
    <w:rsid w:val="00414C08"/>
    <w:rsid w:val="00421E92"/>
    <w:rsid w:val="00422FF8"/>
    <w:rsid w:val="0043032F"/>
    <w:rsid w:val="00437001"/>
    <w:rsid w:val="00443DE7"/>
    <w:rsid w:val="0044608E"/>
    <w:rsid w:val="0045117C"/>
    <w:rsid w:val="0045541F"/>
    <w:rsid w:val="004622EC"/>
    <w:rsid w:val="00465EC3"/>
    <w:rsid w:val="004676EC"/>
    <w:rsid w:val="00475872"/>
    <w:rsid w:val="004802E8"/>
    <w:rsid w:val="00481975"/>
    <w:rsid w:val="00482098"/>
    <w:rsid w:val="00485FCE"/>
    <w:rsid w:val="0048656F"/>
    <w:rsid w:val="00494D47"/>
    <w:rsid w:val="00496C4B"/>
    <w:rsid w:val="00496CFC"/>
    <w:rsid w:val="004A0719"/>
    <w:rsid w:val="004A0F90"/>
    <w:rsid w:val="004A173A"/>
    <w:rsid w:val="004A282A"/>
    <w:rsid w:val="004A307E"/>
    <w:rsid w:val="004B7AF3"/>
    <w:rsid w:val="004D10B1"/>
    <w:rsid w:val="004D270B"/>
    <w:rsid w:val="004D36B5"/>
    <w:rsid w:val="004D7784"/>
    <w:rsid w:val="004F0DA6"/>
    <w:rsid w:val="004F3869"/>
    <w:rsid w:val="004F3E35"/>
    <w:rsid w:val="00503C12"/>
    <w:rsid w:val="00511CD9"/>
    <w:rsid w:val="00514B91"/>
    <w:rsid w:val="00521FCF"/>
    <w:rsid w:val="005248D9"/>
    <w:rsid w:val="00527B46"/>
    <w:rsid w:val="0053576F"/>
    <w:rsid w:val="005635A8"/>
    <w:rsid w:val="005711E1"/>
    <w:rsid w:val="0058006E"/>
    <w:rsid w:val="005851D3"/>
    <w:rsid w:val="005930B6"/>
    <w:rsid w:val="005A0F66"/>
    <w:rsid w:val="005A6846"/>
    <w:rsid w:val="005A70DC"/>
    <w:rsid w:val="005A75F0"/>
    <w:rsid w:val="005B11D8"/>
    <w:rsid w:val="005B1888"/>
    <w:rsid w:val="005B586A"/>
    <w:rsid w:val="005C2115"/>
    <w:rsid w:val="005C468C"/>
    <w:rsid w:val="005C774B"/>
    <w:rsid w:val="005D2AC7"/>
    <w:rsid w:val="005E1518"/>
    <w:rsid w:val="005F4F77"/>
    <w:rsid w:val="00601BAE"/>
    <w:rsid w:val="00602C8B"/>
    <w:rsid w:val="00610ADC"/>
    <w:rsid w:val="00621DC7"/>
    <w:rsid w:val="00624483"/>
    <w:rsid w:val="00624A0F"/>
    <w:rsid w:val="006308CF"/>
    <w:rsid w:val="00640B9D"/>
    <w:rsid w:val="00653849"/>
    <w:rsid w:val="006540A5"/>
    <w:rsid w:val="00655895"/>
    <w:rsid w:val="00657D3D"/>
    <w:rsid w:val="006623BC"/>
    <w:rsid w:val="00670F41"/>
    <w:rsid w:val="00673522"/>
    <w:rsid w:val="0067517B"/>
    <w:rsid w:val="00680B97"/>
    <w:rsid w:val="006851C7"/>
    <w:rsid w:val="00691E89"/>
    <w:rsid w:val="00694644"/>
    <w:rsid w:val="0069465A"/>
    <w:rsid w:val="006962AE"/>
    <w:rsid w:val="006A4C40"/>
    <w:rsid w:val="006A7090"/>
    <w:rsid w:val="006B5DC3"/>
    <w:rsid w:val="006D39B7"/>
    <w:rsid w:val="006D4484"/>
    <w:rsid w:val="006D4B40"/>
    <w:rsid w:val="006D53DF"/>
    <w:rsid w:val="006E3E92"/>
    <w:rsid w:val="006E7800"/>
    <w:rsid w:val="007024E8"/>
    <w:rsid w:val="0070394D"/>
    <w:rsid w:val="00714F6B"/>
    <w:rsid w:val="00715898"/>
    <w:rsid w:val="00721738"/>
    <w:rsid w:val="00735FB4"/>
    <w:rsid w:val="0074480D"/>
    <w:rsid w:val="0075157D"/>
    <w:rsid w:val="007534B1"/>
    <w:rsid w:val="007848B1"/>
    <w:rsid w:val="00786ADE"/>
    <w:rsid w:val="0079047B"/>
    <w:rsid w:val="007A3935"/>
    <w:rsid w:val="007A734E"/>
    <w:rsid w:val="007C032A"/>
    <w:rsid w:val="007C2BB2"/>
    <w:rsid w:val="007C33D7"/>
    <w:rsid w:val="007D12F1"/>
    <w:rsid w:val="007D22C7"/>
    <w:rsid w:val="007E7086"/>
    <w:rsid w:val="007F01B3"/>
    <w:rsid w:val="00800B13"/>
    <w:rsid w:val="0081159D"/>
    <w:rsid w:val="00823D34"/>
    <w:rsid w:val="008322F7"/>
    <w:rsid w:val="00833068"/>
    <w:rsid w:val="00834EEC"/>
    <w:rsid w:val="00840762"/>
    <w:rsid w:val="0084632B"/>
    <w:rsid w:val="008519B7"/>
    <w:rsid w:val="00851E07"/>
    <w:rsid w:val="00852E09"/>
    <w:rsid w:val="00867945"/>
    <w:rsid w:val="008839FB"/>
    <w:rsid w:val="00884FF4"/>
    <w:rsid w:val="00890354"/>
    <w:rsid w:val="00891BCA"/>
    <w:rsid w:val="0089548B"/>
    <w:rsid w:val="008B12BF"/>
    <w:rsid w:val="008B2B40"/>
    <w:rsid w:val="008B4489"/>
    <w:rsid w:val="008C1097"/>
    <w:rsid w:val="008C22E1"/>
    <w:rsid w:val="008C451F"/>
    <w:rsid w:val="008D5B59"/>
    <w:rsid w:val="008D6AE5"/>
    <w:rsid w:val="008E0BF4"/>
    <w:rsid w:val="008F2080"/>
    <w:rsid w:val="008F6C0B"/>
    <w:rsid w:val="00903FF5"/>
    <w:rsid w:val="00910B79"/>
    <w:rsid w:val="00913010"/>
    <w:rsid w:val="009164DD"/>
    <w:rsid w:val="009208EB"/>
    <w:rsid w:val="00924CAD"/>
    <w:rsid w:val="00924F74"/>
    <w:rsid w:val="00931252"/>
    <w:rsid w:val="0093599D"/>
    <w:rsid w:val="00941A15"/>
    <w:rsid w:val="00945E46"/>
    <w:rsid w:val="00947BC9"/>
    <w:rsid w:val="009532E3"/>
    <w:rsid w:val="0095413D"/>
    <w:rsid w:val="00954C72"/>
    <w:rsid w:val="0096042C"/>
    <w:rsid w:val="0096134B"/>
    <w:rsid w:val="00962018"/>
    <w:rsid w:val="00966AC6"/>
    <w:rsid w:val="009831A1"/>
    <w:rsid w:val="009934D8"/>
    <w:rsid w:val="009A3080"/>
    <w:rsid w:val="009C03D9"/>
    <w:rsid w:val="009C35C7"/>
    <w:rsid w:val="009C55E9"/>
    <w:rsid w:val="009D1BC0"/>
    <w:rsid w:val="009E27F0"/>
    <w:rsid w:val="009F5AD1"/>
    <w:rsid w:val="009F7F51"/>
    <w:rsid w:val="00A003C6"/>
    <w:rsid w:val="00A019AA"/>
    <w:rsid w:val="00A024FC"/>
    <w:rsid w:val="00A044CB"/>
    <w:rsid w:val="00A15E7C"/>
    <w:rsid w:val="00A25AB1"/>
    <w:rsid w:val="00A312CB"/>
    <w:rsid w:val="00A54BBD"/>
    <w:rsid w:val="00A55DAA"/>
    <w:rsid w:val="00A570CE"/>
    <w:rsid w:val="00A60EC4"/>
    <w:rsid w:val="00A76FD4"/>
    <w:rsid w:val="00A9120D"/>
    <w:rsid w:val="00AA65F0"/>
    <w:rsid w:val="00AA710C"/>
    <w:rsid w:val="00AB581F"/>
    <w:rsid w:val="00AB7A5D"/>
    <w:rsid w:val="00AD1626"/>
    <w:rsid w:val="00AD5148"/>
    <w:rsid w:val="00AD5B1B"/>
    <w:rsid w:val="00AE0F15"/>
    <w:rsid w:val="00AE2B95"/>
    <w:rsid w:val="00AE4B17"/>
    <w:rsid w:val="00AF222A"/>
    <w:rsid w:val="00AF300F"/>
    <w:rsid w:val="00B06CDC"/>
    <w:rsid w:val="00B10BF9"/>
    <w:rsid w:val="00B11EB3"/>
    <w:rsid w:val="00B258A0"/>
    <w:rsid w:val="00B331F6"/>
    <w:rsid w:val="00B35424"/>
    <w:rsid w:val="00B558A1"/>
    <w:rsid w:val="00B64057"/>
    <w:rsid w:val="00B73E83"/>
    <w:rsid w:val="00B81239"/>
    <w:rsid w:val="00B903BF"/>
    <w:rsid w:val="00B90FF0"/>
    <w:rsid w:val="00BB0875"/>
    <w:rsid w:val="00BB1FEA"/>
    <w:rsid w:val="00BB2E14"/>
    <w:rsid w:val="00BB58E5"/>
    <w:rsid w:val="00BD1632"/>
    <w:rsid w:val="00BD49F4"/>
    <w:rsid w:val="00BE1B51"/>
    <w:rsid w:val="00BE2C8A"/>
    <w:rsid w:val="00BF5E27"/>
    <w:rsid w:val="00C21F7D"/>
    <w:rsid w:val="00C224D8"/>
    <w:rsid w:val="00C3112E"/>
    <w:rsid w:val="00C33B71"/>
    <w:rsid w:val="00C4053E"/>
    <w:rsid w:val="00C53438"/>
    <w:rsid w:val="00C53B99"/>
    <w:rsid w:val="00C6182C"/>
    <w:rsid w:val="00C6610B"/>
    <w:rsid w:val="00C66CC8"/>
    <w:rsid w:val="00C71B31"/>
    <w:rsid w:val="00C860C7"/>
    <w:rsid w:val="00C90BEE"/>
    <w:rsid w:val="00C94B30"/>
    <w:rsid w:val="00C95434"/>
    <w:rsid w:val="00CB3AAD"/>
    <w:rsid w:val="00CD5491"/>
    <w:rsid w:val="00CE44BD"/>
    <w:rsid w:val="00CE5C92"/>
    <w:rsid w:val="00D00AFB"/>
    <w:rsid w:val="00D05993"/>
    <w:rsid w:val="00D11CA9"/>
    <w:rsid w:val="00D12CB7"/>
    <w:rsid w:val="00D1411D"/>
    <w:rsid w:val="00D162F0"/>
    <w:rsid w:val="00D225B0"/>
    <w:rsid w:val="00D34DE9"/>
    <w:rsid w:val="00D445F5"/>
    <w:rsid w:val="00D4514C"/>
    <w:rsid w:val="00D458F3"/>
    <w:rsid w:val="00D5466B"/>
    <w:rsid w:val="00D61F61"/>
    <w:rsid w:val="00D7180B"/>
    <w:rsid w:val="00D82910"/>
    <w:rsid w:val="00D832EE"/>
    <w:rsid w:val="00D8730A"/>
    <w:rsid w:val="00D94BBE"/>
    <w:rsid w:val="00DB3EA3"/>
    <w:rsid w:val="00DB64C6"/>
    <w:rsid w:val="00DC228A"/>
    <w:rsid w:val="00DC471B"/>
    <w:rsid w:val="00DE0350"/>
    <w:rsid w:val="00DE1F68"/>
    <w:rsid w:val="00DE7222"/>
    <w:rsid w:val="00DF219A"/>
    <w:rsid w:val="00DF2912"/>
    <w:rsid w:val="00E02493"/>
    <w:rsid w:val="00E03795"/>
    <w:rsid w:val="00E044D9"/>
    <w:rsid w:val="00E057AC"/>
    <w:rsid w:val="00E154DC"/>
    <w:rsid w:val="00E1610D"/>
    <w:rsid w:val="00E24DE2"/>
    <w:rsid w:val="00E26111"/>
    <w:rsid w:val="00E312D8"/>
    <w:rsid w:val="00E317B3"/>
    <w:rsid w:val="00E3226A"/>
    <w:rsid w:val="00E50449"/>
    <w:rsid w:val="00E51F5D"/>
    <w:rsid w:val="00E52970"/>
    <w:rsid w:val="00E644DA"/>
    <w:rsid w:val="00E6625C"/>
    <w:rsid w:val="00E70552"/>
    <w:rsid w:val="00E86FE5"/>
    <w:rsid w:val="00E964FA"/>
    <w:rsid w:val="00EB118C"/>
    <w:rsid w:val="00EB1EE1"/>
    <w:rsid w:val="00EB477D"/>
    <w:rsid w:val="00EB48C0"/>
    <w:rsid w:val="00EB4EF4"/>
    <w:rsid w:val="00EB59AC"/>
    <w:rsid w:val="00EB5C5F"/>
    <w:rsid w:val="00EC5238"/>
    <w:rsid w:val="00EC7D4D"/>
    <w:rsid w:val="00EE0158"/>
    <w:rsid w:val="00EF537A"/>
    <w:rsid w:val="00F0179F"/>
    <w:rsid w:val="00F02043"/>
    <w:rsid w:val="00F02D31"/>
    <w:rsid w:val="00F06443"/>
    <w:rsid w:val="00F06857"/>
    <w:rsid w:val="00F07568"/>
    <w:rsid w:val="00F10E97"/>
    <w:rsid w:val="00F1305C"/>
    <w:rsid w:val="00F1425C"/>
    <w:rsid w:val="00F1581E"/>
    <w:rsid w:val="00F17906"/>
    <w:rsid w:val="00F36F41"/>
    <w:rsid w:val="00F45D7A"/>
    <w:rsid w:val="00F462C6"/>
    <w:rsid w:val="00F515F0"/>
    <w:rsid w:val="00F54EDE"/>
    <w:rsid w:val="00F62CB5"/>
    <w:rsid w:val="00F64024"/>
    <w:rsid w:val="00F66709"/>
    <w:rsid w:val="00F67E53"/>
    <w:rsid w:val="00F766E2"/>
    <w:rsid w:val="00F776C4"/>
    <w:rsid w:val="00F82959"/>
    <w:rsid w:val="00F82CF2"/>
    <w:rsid w:val="00F969EF"/>
    <w:rsid w:val="00FA60CB"/>
    <w:rsid w:val="00FA6EF6"/>
    <w:rsid w:val="00FB002E"/>
    <w:rsid w:val="00FB2BE7"/>
    <w:rsid w:val="00FC4C10"/>
    <w:rsid w:val="00FC6394"/>
    <w:rsid w:val="00FD560B"/>
    <w:rsid w:val="00FD6623"/>
    <w:rsid w:val="00FE4483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D10B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4D1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D10B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4D1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2%20&#1075;&#1086;&#1076;\2%20&#1082;&#1074;&#1072;&#1088;&#1090;&#1072;&#1083;%202022%20&#1075;&#1086;&#1076;\&#1056;&#1072;&#1089;&#1095;&#1077;&#1090;&#1099;%202%20&#1082;&#1074;.%202022%20&#1075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2%20&#1075;&#1086;&#1076;\2%20&#1082;&#1074;&#1072;&#1088;&#1090;&#1072;&#1083;%202022%20&#1075;&#1086;&#1076;\&#1056;&#1072;&#1089;&#1095;&#1077;&#1090;&#1099;%202%20&#1082;&#1074;.%202022%20&#1075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налоговых поступлений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'таблица 2'!$K$3</c:f>
              <c:strCache>
                <c:ptCount val="1"/>
                <c:pt idx="0">
                  <c:v>Сумма (тыс. руб.)</c:v>
                </c:pt>
              </c:strCache>
            </c:strRef>
          </c:tx>
          <c:invertIfNegative val="0"/>
          <c:cat>
            <c:strRef>
              <c:f>'таблица 2'!$J$4:$J$8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  <c:pt idx="4">
                  <c:v>Целевые сборы</c:v>
                </c:pt>
              </c:strCache>
            </c:strRef>
          </c:cat>
          <c:val>
            <c:numRef>
              <c:f>'таблица 2'!$K$4:$K$8</c:f>
              <c:numCache>
                <c:formatCode>0.00</c:formatCode>
                <c:ptCount val="5"/>
                <c:pt idx="0">
                  <c:v>119075.89418</c:v>
                </c:pt>
                <c:pt idx="1">
                  <c:v>18969.14633</c:v>
                </c:pt>
                <c:pt idx="2">
                  <c:v>31146.261589999998</c:v>
                </c:pt>
                <c:pt idx="3">
                  <c:v>6884.5229799999997</c:v>
                </c:pt>
                <c:pt idx="4">
                  <c:v>0.17255000000000001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555456"/>
        <c:axId val="67492096"/>
      </c:barChart>
      <c:catAx>
        <c:axId val="63555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492096"/>
        <c:crosses val="autoZero"/>
        <c:auto val="1"/>
        <c:lblAlgn val="ctr"/>
        <c:lblOffset val="100"/>
        <c:noMultiLvlLbl val="0"/>
      </c:catAx>
      <c:valAx>
        <c:axId val="674920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3555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поступлений </a:t>
            </a:r>
          </a:p>
        </c:rich>
      </c:tx>
      <c:layout>
        <c:manualLayout>
          <c:xMode val="edge"/>
          <c:yMode val="edge"/>
          <c:x val="0.21638888888888891"/>
          <c:y val="1.733853252667744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'таблица 2'!$B$30</c:f>
              <c:strCache>
                <c:ptCount val="1"/>
                <c:pt idx="0">
                  <c:v>(тыс. руб.)</c:v>
                </c:pt>
              </c:strCache>
            </c:strRef>
          </c:tx>
          <c:invertIfNegative val="0"/>
          <c:cat>
            <c:strRef>
              <c:f>'таблица 2'!$A$31:$A$36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 и др.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'таблица 2'!$B$31:$B$36</c:f>
              <c:numCache>
                <c:formatCode>0</c:formatCode>
                <c:ptCount val="6"/>
                <c:pt idx="0">
                  <c:v>10708.635780000001</c:v>
                </c:pt>
                <c:pt idx="1">
                  <c:v>345.55606</c:v>
                </c:pt>
                <c:pt idx="2">
                  <c:v>22246.37386</c:v>
                </c:pt>
                <c:pt idx="3">
                  <c:v>9386.9273900000007</c:v>
                </c:pt>
                <c:pt idx="4">
                  <c:v>1544.85329</c:v>
                </c:pt>
                <c:pt idx="5">
                  <c:v>79.709639999999993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28960"/>
        <c:axId val="63526016"/>
      </c:barChart>
      <c:catAx>
        <c:axId val="1207289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3526016"/>
        <c:crosses val="autoZero"/>
        <c:auto val="1"/>
        <c:lblAlgn val="ctr"/>
        <c:lblOffset val="100"/>
        <c:noMultiLvlLbl val="0"/>
      </c:catAx>
      <c:valAx>
        <c:axId val="6352601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0728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A690-7577-4FE8-A75B-E4D391B7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7666</TotalTime>
  <Pages>10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Юлия Журавлева</cp:lastModifiedBy>
  <cp:revision>93</cp:revision>
  <cp:lastPrinted>2022-09-22T04:09:00Z</cp:lastPrinted>
  <dcterms:created xsi:type="dcterms:W3CDTF">2015-08-12T08:38:00Z</dcterms:created>
  <dcterms:modified xsi:type="dcterms:W3CDTF">2022-09-22T04:11:00Z</dcterms:modified>
</cp:coreProperties>
</file>